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AA18E9" w:rsidRDefault="00AA18E9" w:rsidP="00276280">
      <w:pPr>
        <w:spacing w:line="240" w:lineRule="auto"/>
        <w:jc w:val="center"/>
        <w:rPr>
          <w:rFonts w:ascii="Times New Roman" w:hAnsi="Times New Roman" w:cs="Times New Roman"/>
          <w:b/>
          <w:sz w:val="24"/>
          <w:lang w:val="bg-BG"/>
        </w:rPr>
      </w:pPr>
    </w:p>
    <w:p w:rsidR="00F80F6F" w:rsidRPr="00C12632" w:rsidRDefault="00AA18E9" w:rsidP="00276280">
      <w:pPr>
        <w:spacing w:line="240" w:lineRule="auto"/>
        <w:jc w:val="center"/>
        <w:rPr>
          <w:rFonts w:ascii="Times New Roman" w:hAnsi="Times New Roman" w:cs="Times New Roman"/>
          <w:b/>
          <w:sz w:val="24"/>
          <w:lang w:val="bg-BG"/>
        </w:rPr>
      </w:pPr>
      <w:bookmarkStart w:id="0" w:name="_GoBack"/>
      <w:bookmarkEnd w:id="0"/>
      <w:r>
        <w:rPr>
          <w:rFonts w:ascii="Times New Roman" w:hAnsi="Times New Roman" w:cs="Times New Roman"/>
          <w:b/>
          <w:sz w:val="24"/>
          <w:lang w:val="bg-BG"/>
        </w:rPr>
        <w:t xml:space="preserve">НАЦИОНАЛЕН КОНСЕНСУС ЗА ТРОМБОПРОФИЛАКТИКА </w:t>
      </w:r>
      <w:r w:rsidR="00603262">
        <w:rPr>
          <w:rFonts w:ascii="Times New Roman" w:hAnsi="Times New Roman" w:cs="Times New Roman"/>
          <w:b/>
          <w:sz w:val="24"/>
          <w:lang w:val="bg-BG"/>
        </w:rPr>
        <w:br/>
      </w:r>
      <w:r>
        <w:rPr>
          <w:rFonts w:ascii="Times New Roman" w:hAnsi="Times New Roman" w:cs="Times New Roman"/>
          <w:b/>
          <w:sz w:val="24"/>
          <w:lang w:val="bg-BG"/>
        </w:rPr>
        <w:t>ПРИ ОРТОПЕДО-ТРАВМАТОЛОГИЧНИ ПАЦИЕНТИ</w:t>
      </w:r>
      <w:r w:rsidR="00C12632">
        <w:rPr>
          <w:rFonts w:ascii="Times New Roman" w:hAnsi="Times New Roman" w:cs="Times New Roman"/>
          <w:b/>
          <w:sz w:val="24"/>
          <w:lang w:val="bg-BG"/>
        </w:rPr>
        <w:br/>
        <w:t>НАД 18-ГОДИШНА ВЪЗРАСТ</w:t>
      </w:r>
    </w:p>
    <w:p w:rsidR="00E160C6" w:rsidRDefault="00E160C6" w:rsidP="00276280">
      <w:pPr>
        <w:spacing w:line="240" w:lineRule="auto"/>
        <w:jc w:val="center"/>
        <w:rPr>
          <w:rFonts w:ascii="Times New Roman" w:hAnsi="Times New Roman" w:cs="Times New Roman"/>
          <w:sz w:val="24"/>
        </w:rPr>
      </w:pPr>
    </w:p>
    <w:p w:rsidR="00AA18E9" w:rsidRDefault="00AA18E9" w:rsidP="00276280">
      <w:pPr>
        <w:spacing w:line="240" w:lineRule="auto"/>
        <w:jc w:val="center"/>
        <w:rPr>
          <w:rFonts w:ascii="Times New Roman" w:hAnsi="Times New Roman" w:cs="Times New Roman"/>
          <w:sz w:val="24"/>
          <w:lang w:val="bg-BG"/>
        </w:rPr>
      </w:pPr>
      <w:r>
        <w:rPr>
          <w:rFonts w:ascii="Times New Roman" w:hAnsi="Times New Roman" w:cs="Times New Roman"/>
          <w:sz w:val="24"/>
          <w:lang w:val="bg-BG"/>
        </w:rPr>
        <w:t>ПО ИНИЦИАТИВА</w:t>
      </w:r>
      <w:r>
        <w:rPr>
          <w:rFonts w:ascii="Times New Roman" w:hAnsi="Times New Roman" w:cs="Times New Roman"/>
          <w:sz w:val="24"/>
          <w:lang w:val="bg-BG"/>
        </w:rPr>
        <w:br/>
        <w:t>НА „БЪЛГАРСКА ОРТОПЕДИЧНА И ТРАВМАТОЛОГИЧНА АСОЦИАЦИЯ“</w:t>
      </w:r>
    </w:p>
    <w:p w:rsidR="00AA18E9" w:rsidRDefault="00AA18E9">
      <w:pPr>
        <w:rPr>
          <w:rFonts w:ascii="Times New Roman" w:hAnsi="Times New Roman" w:cs="Times New Roman"/>
          <w:sz w:val="24"/>
          <w:lang w:val="bg-BG"/>
        </w:rPr>
      </w:pPr>
      <w:r>
        <w:rPr>
          <w:rFonts w:ascii="Times New Roman" w:hAnsi="Times New Roman" w:cs="Times New Roman"/>
          <w:sz w:val="24"/>
          <w:lang w:val="bg-BG"/>
        </w:rPr>
        <w:br w:type="page"/>
      </w:r>
    </w:p>
    <w:p w:rsidR="008732C1" w:rsidRDefault="008732C1" w:rsidP="008732C1">
      <w:pPr>
        <w:spacing w:line="240" w:lineRule="auto"/>
        <w:jc w:val="center"/>
        <w:rPr>
          <w:rFonts w:ascii="Times New Roman" w:hAnsi="Times New Roman" w:cs="Times New Roman"/>
          <w:sz w:val="24"/>
          <w:lang w:val="bg-BG"/>
        </w:rPr>
      </w:pPr>
      <w:r>
        <w:rPr>
          <w:rFonts w:ascii="Times New Roman" w:hAnsi="Times New Roman" w:cs="Times New Roman"/>
          <w:sz w:val="24"/>
          <w:lang w:val="bg-BG"/>
        </w:rPr>
        <w:lastRenderedPageBreak/>
        <w:t>ИЗПОЛЗВАНИ СЪКРАЩЕНИЯ</w:t>
      </w:r>
    </w:p>
    <w:p w:rsidR="008732C1" w:rsidRDefault="008732C1" w:rsidP="008732C1">
      <w:pPr>
        <w:spacing w:line="240" w:lineRule="auto"/>
        <w:rPr>
          <w:rFonts w:ascii="Times New Roman" w:hAnsi="Times New Roman" w:cs="Times New Roman"/>
          <w:color w:val="040C28"/>
          <w:sz w:val="24"/>
          <w:szCs w:val="30"/>
        </w:rPr>
      </w:pPr>
      <w:r w:rsidRPr="003E6839">
        <w:rPr>
          <w:rFonts w:ascii="Times New Roman" w:hAnsi="Times New Roman" w:cs="Times New Roman"/>
          <w:sz w:val="24"/>
          <w:lang w:val="en-US"/>
        </w:rPr>
        <w:t xml:space="preserve">AAOS – </w:t>
      </w:r>
      <w:r w:rsidRPr="003E6839">
        <w:rPr>
          <w:rFonts w:ascii="Times New Roman" w:hAnsi="Times New Roman" w:cs="Times New Roman"/>
          <w:color w:val="040C28"/>
          <w:sz w:val="24"/>
          <w:szCs w:val="30"/>
        </w:rPr>
        <w:t>American Academy of Orthopaedic Surgeons</w:t>
      </w:r>
    </w:p>
    <w:p w:rsidR="008732C1" w:rsidRDefault="008732C1" w:rsidP="008732C1">
      <w:pPr>
        <w:spacing w:line="240" w:lineRule="auto"/>
        <w:rPr>
          <w:rFonts w:ascii="Times New Roman" w:hAnsi="Times New Roman" w:cs="Times New Roman"/>
          <w:sz w:val="24"/>
          <w:lang w:val="bg-BG"/>
        </w:rPr>
      </w:pPr>
      <w:r w:rsidRPr="004278EB">
        <w:rPr>
          <w:rFonts w:ascii="Times New Roman" w:hAnsi="Times New Roman" w:cs="Times New Roman"/>
          <w:sz w:val="24"/>
          <w:lang w:val="bg-BG"/>
        </w:rPr>
        <w:t xml:space="preserve">AAST </w:t>
      </w:r>
      <w:r>
        <w:rPr>
          <w:rFonts w:ascii="Times New Roman" w:hAnsi="Times New Roman" w:cs="Times New Roman"/>
          <w:sz w:val="24"/>
          <w:lang w:val="bg-BG"/>
        </w:rPr>
        <w:t xml:space="preserve">– </w:t>
      </w:r>
      <w:r w:rsidRPr="004278EB">
        <w:rPr>
          <w:rFonts w:ascii="Times New Roman" w:hAnsi="Times New Roman" w:cs="Times New Roman"/>
          <w:sz w:val="24"/>
          <w:lang w:val="bg-BG"/>
        </w:rPr>
        <w:t>American</w:t>
      </w:r>
      <w:r>
        <w:rPr>
          <w:rFonts w:ascii="Times New Roman" w:hAnsi="Times New Roman" w:cs="Times New Roman"/>
          <w:sz w:val="24"/>
          <w:lang w:val="bg-BG"/>
        </w:rPr>
        <w:t xml:space="preserve"> </w:t>
      </w:r>
      <w:r w:rsidRPr="004278EB">
        <w:rPr>
          <w:rFonts w:ascii="Times New Roman" w:hAnsi="Times New Roman" w:cs="Times New Roman"/>
          <w:sz w:val="24"/>
          <w:lang w:val="bg-BG"/>
        </w:rPr>
        <w:t>Association for the Surgery of Trauma</w:t>
      </w:r>
    </w:p>
    <w:p w:rsidR="008732C1" w:rsidRDefault="008732C1" w:rsidP="008732C1">
      <w:pPr>
        <w:spacing w:line="240" w:lineRule="auto"/>
        <w:rPr>
          <w:rFonts w:ascii="Times New Roman" w:hAnsi="Times New Roman" w:cs="Times New Roman"/>
          <w:sz w:val="24"/>
          <w:lang w:val="en-US"/>
        </w:rPr>
      </w:pPr>
      <w:r>
        <w:rPr>
          <w:rFonts w:ascii="Times New Roman" w:hAnsi="Times New Roman" w:cs="Times New Roman"/>
          <w:sz w:val="24"/>
          <w:lang w:val="en-US"/>
        </w:rPr>
        <w:t>ACC – American College of Cardiology</w:t>
      </w:r>
    </w:p>
    <w:p w:rsidR="008732C1" w:rsidRDefault="008732C1" w:rsidP="008732C1">
      <w:pPr>
        <w:spacing w:line="240" w:lineRule="auto"/>
        <w:rPr>
          <w:rFonts w:ascii="Times New Roman" w:hAnsi="Times New Roman" w:cs="Times New Roman"/>
          <w:sz w:val="24"/>
          <w:lang w:val="bg-BG"/>
        </w:rPr>
      </w:pPr>
      <w:r w:rsidRPr="004008DE">
        <w:rPr>
          <w:rFonts w:ascii="Times New Roman" w:hAnsi="Times New Roman" w:cs="Times New Roman"/>
          <w:sz w:val="24"/>
          <w:lang w:val="bg-BG"/>
        </w:rPr>
        <w:t>ACCP</w:t>
      </w:r>
      <w:r>
        <w:rPr>
          <w:rFonts w:ascii="Times New Roman" w:hAnsi="Times New Roman" w:cs="Times New Roman"/>
          <w:sz w:val="24"/>
          <w:lang w:val="bg-BG"/>
        </w:rPr>
        <w:t xml:space="preserve"> – </w:t>
      </w:r>
      <w:r w:rsidRPr="004008DE">
        <w:rPr>
          <w:rFonts w:ascii="Times New Roman" w:hAnsi="Times New Roman" w:cs="Times New Roman"/>
          <w:sz w:val="24"/>
          <w:lang w:val="bg-BG"/>
        </w:rPr>
        <w:t>American</w:t>
      </w:r>
      <w:r>
        <w:rPr>
          <w:rFonts w:ascii="Times New Roman" w:hAnsi="Times New Roman" w:cs="Times New Roman"/>
          <w:sz w:val="24"/>
          <w:lang w:val="bg-BG"/>
        </w:rPr>
        <w:t xml:space="preserve"> </w:t>
      </w:r>
      <w:r w:rsidRPr="004008DE">
        <w:rPr>
          <w:rFonts w:ascii="Times New Roman" w:hAnsi="Times New Roman" w:cs="Times New Roman"/>
          <w:sz w:val="24"/>
          <w:lang w:val="bg-BG"/>
        </w:rPr>
        <w:t>College of Chest Physicians</w:t>
      </w:r>
      <w:r>
        <w:rPr>
          <w:rFonts w:ascii="Times New Roman" w:hAnsi="Times New Roman" w:cs="Times New Roman"/>
          <w:sz w:val="24"/>
          <w:lang w:val="bg-BG"/>
        </w:rPr>
        <w:t xml:space="preserve"> </w:t>
      </w:r>
    </w:p>
    <w:p w:rsidR="008732C1" w:rsidRPr="00EC65C4" w:rsidRDefault="008732C1" w:rsidP="008732C1">
      <w:pPr>
        <w:spacing w:line="240" w:lineRule="auto"/>
        <w:rPr>
          <w:rFonts w:ascii="Times New Roman" w:hAnsi="Times New Roman" w:cs="Times New Roman"/>
          <w:color w:val="202124"/>
          <w:sz w:val="24"/>
          <w:szCs w:val="30"/>
          <w:shd w:val="clear" w:color="auto" w:fill="FFFFFF"/>
          <w:lang w:val="en-US"/>
        </w:rPr>
      </w:pPr>
      <w:r>
        <w:rPr>
          <w:rFonts w:ascii="Times New Roman" w:hAnsi="Times New Roman" w:cs="Times New Roman"/>
          <w:color w:val="202124"/>
          <w:sz w:val="24"/>
          <w:szCs w:val="30"/>
          <w:shd w:val="clear" w:color="auto" w:fill="FFFFFF"/>
          <w:lang w:val="en-US"/>
        </w:rPr>
        <w:t>ACS – American College of Surgeons</w:t>
      </w:r>
    </w:p>
    <w:p w:rsidR="008732C1" w:rsidRPr="00B71B61" w:rsidRDefault="008732C1" w:rsidP="008732C1">
      <w:pPr>
        <w:spacing w:line="240" w:lineRule="auto"/>
        <w:rPr>
          <w:rFonts w:ascii="Times New Roman" w:hAnsi="Times New Roman" w:cs="Times New Roman"/>
          <w:sz w:val="24"/>
          <w:lang w:val="en-US"/>
        </w:rPr>
      </w:pPr>
      <w:r w:rsidRPr="00B71B61">
        <w:rPr>
          <w:rFonts w:ascii="Times New Roman" w:hAnsi="Times New Roman" w:cs="Times New Roman"/>
          <w:color w:val="202124"/>
          <w:sz w:val="24"/>
          <w:szCs w:val="30"/>
          <w:shd w:val="clear" w:color="auto" w:fill="FFFFFF"/>
        </w:rPr>
        <w:t>ASRA</w:t>
      </w:r>
      <w:r>
        <w:rPr>
          <w:rFonts w:ascii="Times New Roman" w:hAnsi="Times New Roman" w:cs="Times New Roman"/>
          <w:color w:val="202124"/>
          <w:sz w:val="24"/>
          <w:szCs w:val="30"/>
          <w:shd w:val="clear" w:color="auto" w:fill="FFFFFF"/>
          <w:lang w:val="bg-BG"/>
        </w:rPr>
        <w:t xml:space="preserve"> – </w:t>
      </w:r>
      <w:r w:rsidRPr="00B71B61">
        <w:rPr>
          <w:rFonts w:ascii="Times New Roman" w:hAnsi="Times New Roman" w:cs="Times New Roman"/>
          <w:color w:val="040C28"/>
          <w:sz w:val="24"/>
          <w:szCs w:val="30"/>
        </w:rPr>
        <w:t>American</w:t>
      </w:r>
      <w:r>
        <w:rPr>
          <w:rFonts w:ascii="Times New Roman" w:hAnsi="Times New Roman" w:cs="Times New Roman"/>
          <w:color w:val="040C28"/>
          <w:sz w:val="24"/>
          <w:szCs w:val="30"/>
          <w:lang w:val="bg-BG"/>
        </w:rPr>
        <w:t xml:space="preserve"> </w:t>
      </w:r>
      <w:r w:rsidRPr="00B71B61">
        <w:rPr>
          <w:rFonts w:ascii="Times New Roman" w:hAnsi="Times New Roman" w:cs="Times New Roman"/>
          <w:color w:val="040C28"/>
          <w:sz w:val="24"/>
          <w:szCs w:val="30"/>
        </w:rPr>
        <w:t>Society of Regional Anesthesia</w:t>
      </w:r>
    </w:p>
    <w:p w:rsidR="008732C1" w:rsidRDefault="008732C1" w:rsidP="008732C1">
      <w:pPr>
        <w:spacing w:line="240" w:lineRule="auto"/>
        <w:rPr>
          <w:rFonts w:ascii="Times New Roman" w:hAnsi="Times New Roman" w:cs="Times New Roman"/>
          <w:color w:val="202124"/>
          <w:sz w:val="24"/>
          <w:szCs w:val="30"/>
          <w:shd w:val="clear" w:color="auto" w:fill="FFFFFF"/>
        </w:rPr>
      </w:pPr>
      <w:r w:rsidRPr="003E6839">
        <w:rPr>
          <w:rFonts w:ascii="Times New Roman" w:hAnsi="Times New Roman" w:cs="Times New Roman"/>
          <w:color w:val="040C28"/>
          <w:sz w:val="24"/>
          <w:szCs w:val="30"/>
          <w:lang w:val="en-US"/>
        </w:rPr>
        <w:t xml:space="preserve">NICE – </w:t>
      </w:r>
      <w:r w:rsidRPr="003E6839">
        <w:rPr>
          <w:rFonts w:ascii="Times New Roman" w:hAnsi="Times New Roman" w:cs="Times New Roman"/>
          <w:color w:val="040C28"/>
          <w:sz w:val="24"/>
          <w:szCs w:val="30"/>
        </w:rPr>
        <w:t>National Institute for Health and Care Excellence</w:t>
      </w:r>
      <w:r w:rsidRPr="003E6839">
        <w:rPr>
          <w:rFonts w:ascii="Times New Roman" w:hAnsi="Times New Roman" w:cs="Times New Roman"/>
          <w:color w:val="202124"/>
          <w:sz w:val="24"/>
          <w:szCs w:val="30"/>
          <w:shd w:val="clear" w:color="auto" w:fill="FFFFFF"/>
        </w:rPr>
        <w:t> </w:t>
      </w:r>
    </w:p>
    <w:p w:rsidR="008732C1" w:rsidRDefault="008732C1" w:rsidP="008732C1">
      <w:pPr>
        <w:spacing w:line="240" w:lineRule="auto"/>
        <w:rPr>
          <w:rFonts w:ascii="Times New Roman" w:hAnsi="Times New Roman" w:cs="Times New Roman"/>
          <w:sz w:val="24"/>
          <w:lang w:val="en-US"/>
        </w:rPr>
      </w:pPr>
      <w:r>
        <w:rPr>
          <w:rFonts w:ascii="Times New Roman" w:hAnsi="Times New Roman" w:cs="Times New Roman"/>
          <w:sz w:val="24"/>
          <w:lang w:val="en-US"/>
        </w:rPr>
        <w:t>PPS – Padua Prediction Score</w:t>
      </w:r>
    </w:p>
    <w:p w:rsidR="008732C1" w:rsidRPr="006575A9" w:rsidRDefault="008732C1" w:rsidP="008732C1">
      <w:pPr>
        <w:spacing w:line="240" w:lineRule="auto"/>
        <w:rPr>
          <w:rFonts w:ascii="Times New Roman" w:hAnsi="Times New Roman" w:cs="Times New Roman"/>
          <w:color w:val="000000" w:themeColor="text1"/>
          <w:sz w:val="24"/>
          <w:szCs w:val="21"/>
          <w:shd w:val="clear" w:color="auto" w:fill="FFFFFF"/>
          <w:lang w:val="bg-BG"/>
        </w:rPr>
      </w:pPr>
      <w:r w:rsidRPr="006575A9">
        <w:rPr>
          <w:rFonts w:ascii="Times New Roman" w:hAnsi="Times New Roman" w:cs="Times New Roman"/>
          <w:color w:val="000000" w:themeColor="text1"/>
          <w:sz w:val="24"/>
          <w:lang w:val="bg-BG"/>
        </w:rPr>
        <w:t xml:space="preserve">SIGN – </w:t>
      </w:r>
      <w:r w:rsidRPr="006575A9">
        <w:rPr>
          <w:rFonts w:ascii="Times New Roman" w:hAnsi="Times New Roman" w:cs="Times New Roman"/>
          <w:color w:val="000000" w:themeColor="text1"/>
          <w:sz w:val="24"/>
          <w:szCs w:val="21"/>
          <w:shd w:val="clear" w:color="auto" w:fill="FFFFFF"/>
          <w:lang w:val="bg-BG"/>
        </w:rPr>
        <w:t xml:space="preserve">Scottish Intercollegiate </w:t>
      </w:r>
      <w:r w:rsidRPr="006575A9">
        <w:rPr>
          <w:rStyle w:val="Emphasis"/>
          <w:rFonts w:ascii="Times New Roman" w:hAnsi="Times New Roman" w:cs="Times New Roman"/>
          <w:bCs/>
          <w:i w:val="0"/>
          <w:color w:val="000000" w:themeColor="text1"/>
          <w:sz w:val="24"/>
          <w:szCs w:val="21"/>
          <w:shd w:val="clear" w:color="auto" w:fill="FFFFFF"/>
          <w:lang w:val="bg-BG"/>
        </w:rPr>
        <w:t>Guidelines</w:t>
      </w:r>
      <w:r w:rsidRPr="006575A9">
        <w:rPr>
          <w:rStyle w:val="Emphasis"/>
          <w:rFonts w:ascii="Times New Roman" w:hAnsi="Times New Roman" w:cs="Times New Roman"/>
          <w:bCs/>
          <w:color w:val="000000" w:themeColor="text1"/>
          <w:sz w:val="24"/>
          <w:szCs w:val="21"/>
          <w:shd w:val="clear" w:color="auto" w:fill="FFFFFF"/>
          <w:lang w:val="bg-BG"/>
        </w:rPr>
        <w:t xml:space="preserve"> </w:t>
      </w:r>
      <w:r w:rsidRPr="006575A9">
        <w:rPr>
          <w:rFonts w:ascii="Times New Roman" w:hAnsi="Times New Roman" w:cs="Times New Roman"/>
          <w:color w:val="000000" w:themeColor="text1"/>
          <w:sz w:val="24"/>
          <w:szCs w:val="21"/>
          <w:shd w:val="clear" w:color="auto" w:fill="FFFFFF"/>
          <w:lang w:val="bg-BG"/>
        </w:rPr>
        <w:t>Network</w:t>
      </w:r>
    </w:p>
    <w:p w:rsidR="008732C1" w:rsidRDefault="008732C1" w:rsidP="008732C1">
      <w:pPr>
        <w:spacing w:line="240" w:lineRule="auto"/>
        <w:rPr>
          <w:rFonts w:ascii="Times New Roman" w:hAnsi="Times New Roman" w:cs="Times New Roman"/>
          <w:sz w:val="24"/>
          <w:lang w:val="bg-BG"/>
        </w:rPr>
      </w:pPr>
      <w:r>
        <w:rPr>
          <w:rFonts w:ascii="Times New Roman" w:hAnsi="Times New Roman" w:cs="Times New Roman"/>
          <w:sz w:val="24"/>
          <w:lang w:val="bg-BG"/>
        </w:rPr>
        <w:t>БТЕ – белодробна тромбоемболия</w:t>
      </w:r>
    </w:p>
    <w:p w:rsidR="008732C1" w:rsidRDefault="008732C1" w:rsidP="008732C1">
      <w:pPr>
        <w:spacing w:line="240" w:lineRule="auto"/>
        <w:rPr>
          <w:rFonts w:ascii="Times New Roman" w:hAnsi="Times New Roman" w:cs="Times New Roman"/>
          <w:sz w:val="24"/>
          <w:lang w:val="bg-BG"/>
        </w:rPr>
      </w:pPr>
      <w:r>
        <w:rPr>
          <w:rFonts w:ascii="Times New Roman" w:hAnsi="Times New Roman" w:cs="Times New Roman"/>
          <w:sz w:val="24"/>
          <w:lang w:val="bg-BG"/>
        </w:rPr>
        <w:t>ВТЕ – венозна тромбоемболия</w:t>
      </w:r>
    </w:p>
    <w:p w:rsidR="008732C1" w:rsidRDefault="008732C1" w:rsidP="008732C1">
      <w:pPr>
        <w:spacing w:line="240" w:lineRule="auto"/>
        <w:rPr>
          <w:rFonts w:ascii="Times New Roman" w:hAnsi="Times New Roman" w:cs="Times New Roman"/>
          <w:sz w:val="24"/>
          <w:lang w:val="bg-BG"/>
        </w:rPr>
      </w:pPr>
      <w:r>
        <w:rPr>
          <w:rFonts w:ascii="Times New Roman" w:hAnsi="Times New Roman" w:cs="Times New Roman"/>
          <w:sz w:val="24"/>
          <w:lang w:val="bg-BG"/>
        </w:rPr>
        <w:t>ДВТ – дълбока венозна тромбоза</w:t>
      </w:r>
    </w:p>
    <w:p w:rsidR="008732C1" w:rsidRDefault="008732C1" w:rsidP="008732C1">
      <w:pPr>
        <w:spacing w:line="240" w:lineRule="auto"/>
        <w:rPr>
          <w:rFonts w:ascii="Times New Roman" w:hAnsi="Times New Roman" w:cs="Times New Roman"/>
          <w:sz w:val="24"/>
          <w:lang w:val="bg-BG"/>
        </w:rPr>
      </w:pPr>
      <w:r>
        <w:rPr>
          <w:rFonts w:ascii="Times New Roman" w:hAnsi="Times New Roman" w:cs="Times New Roman"/>
          <w:sz w:val="24"/>
          <w:lang w:val="bg-BG"/>
        </w:rPr>
        <w:t>ДПАК – директни перорални антикоагуланти</w:t>
      </w:r>
    </w:p>
    <w:p w:rsidR="008732C1" w:rsidRDefault="008732C1">
      <w:pPr>
        <w:rPr>
          <w:rFonts w:ascii="Times New Roman" w:hAnsi="Times New Roman" w:cs="Times New Roman"/>
          <w:sz w:val="24"/>
          <w:lang w:val="bg-BG"/>
        </w:rPr>
      </w:pPr>
      <w:r>
        <w:rPr>
          <w:rFonts w:ascii="Times New Roman" w:hAnsi="Times New Roman" w:cs="Times New Roman"/>
          <w:sz w:val="24"/>
          <w:lang w:val="bg-BG"/>
        </w:rPr>
        <w:br w:type="page"/>
      </w:r>
    </w:p>
    <w:p w:rsidR="008732C1" w:rsidRPr="004008DE" w:rsidRDefault="008732C1" w:rsidP="008732C1">
      <w:pPr>
        <w:spacing w:line="240" w:lineRule="auto"/>
        <w:jc w:val="center"/>
        <w:rPr>
          <w:rFonts w:ascii="Times New Roman" w:hAnsi="Times New Roman" w:cs="Times New Roman"/>
          <w:sz w:val="24"/>
          <w:lang w:val="bg-BG"/>
        </w:rPr>
      </w:pPr>
      <w:r w:rsidRPr="004008DE">
        <w:rPr>
          <w:rFonts w:ascii="Times New Roman" w:hAnsi="Times New Roman" w:cs="Times New Roman"/>
          <w:sz w:val="24"/>
          <w:lang w:val="bg-BG"/>
        </w:rPr>
        <w:lastRenderedPageBreak/>
        <w:t>СЪДЪРЖАНИЕ</w:t>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Рискови фактори</w:t>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Оценка на риска за ВТЕ</w:t>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Средства за профилактика</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3.1</w:t>
      </w:r>
      <w:r w:rsidRPr="004008DE">
        <w:rPr>
          <w:rFonts w:ascii="Times New Roman" w:hAnsi="Times New Roman" w:cs="Times New Roman"/>
          <w:sz w:val="24"/>
          <w:lang w:val="bg-BG"/>
        </w:rPr>
        <w:tab/>
        <w:t>Механична профилактика</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3.2</w:t>
      </w:r>
      <w:r w:rsidRPr="004008DE">
        <w:rPr>
          <w:rFonts w:ascii="Times New Roman" w:hAnsi="Times New Roman" w:cs="Times New Roman"/>
          <w:sz w:val="24"/>
          <w:lang w:val="bg-BG"/>
        </w:rPr>
        <w:tab/>
        <w:t>Фармакологична профилактика</w:t>
      </w:r>
      <w:r w:rsidRPr="004008DE">
        <w:rPr>
          <w:rFonts w:ascii="Times New Roman" w:hAnsi="Times New Roman" w:cs="Times New Roman"/>
          <w:sz w:val="24"/>
          <w:lang w:val="bg-BG"/>
        </w:rPr>
        <w:tab/>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Препоръки за профилактика</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4.1 Планово колянно ендопротезиране</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4.2 Планово тазобедрено ендопротезиране</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4.3 Колянна артроскопия</w:t>
      </w:r>
    </w:p>
    <w:p w:rsidR="008732C1"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4.4 Операции на горен крайник</w:t>
      </w:r>
    </w:p>
    <w:p w:rsidR="008732C1" w:rsidRPr="004008DE" w:rsidRDefault="008732C1" w:rsidP="008732C1">
      <w:pPr>
        <w:spacing w:after="0" w:line="240" w:lineRule="auto"/>
        <w:ind w:left="1080"/>
        <w:rPr>
          <w:rFonts w:ascii="Times New Roman" w:hAnsi="Times New Roman" w:cs="Times New Roman"/>
          <w:sz w:val="24"/>
          <w:lang w:val="bg-BG"/>
        </w:rPr>
      </w:pPr>
      <w:r>
        <w:rPr>
          <w:rFonts w:ascii="Times New Roman" w:hAnsi="Times New Roman" w:cs="Times New Roman"/>
          <w:sz w:val="24"/>
          <w:lang w:val="en-US"/>
        </w:rPr>
        <w:t xml:space="preserve">4.5 </w:t>
      </w:r>
      <w:r w:rsidRPr="004008DE">
        <w:rPr>
          <w:rFonts w:ascii="Times New Roman" w:hAnsi="Times New Roman" w:cs="Times New Roman"/>
          <w:sz w:val="24"/>
          <w:lang w:val="bg-BG"/>
        </w:rPr>
        <w:t>Гръбначни операции</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w:t>
      </w:r>
      <w:r>
        <w:rPr>
          <w:rFonts w:ascii="Times New Roman" w:hAnsi="Times New Roman" w:cs="Times New Roman"/>
          <w:sz w:val="24"/>
          <w:lang w:val="en-US"/>
        </w:rPr>
        <w:t>6</w:t>
      </w:r>
      <w:r w:rsidRPr="004008DE">
        <w:rPr>
          <w:rFonts w:ascii="Times New Roman" w:hAnsi="Times New Roman" w:cs="Times New Roman"/>
          <w:sz w:val="24"/>
          <w:lang w:val="bg-BG"/>
        </w:rPr>
        <w:t xml:space="preserve"> Гръбначно-мозъчна травма</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w:t>
      </w:r>
      <w:r>
        <w:rPr>
          <w:rFonts w:ascii="Times New Roman" w:hAnsi="Times New Roman" w:cs="Times New Roman"/>
          <w:sz w:val="24"/>
          <w:lang w:val="en-US"/>
        </w:rPr>
        <w:t>7</w:t>
      </w:r>
      <w:r w:rsidRPr="004008DE">
        <w:rPr>
          <w:rFonts w:ascii="Times New Roman" w:hAnsi="Times New Roman" w:cs="Times New Roman"/>
          <w:sz w:val="24"/>
          <w:lang w:val="bg-BG"/>
        </w:rPr>
        <w:t xml:space="preserve"> Фрактури на таза</w:t>
      </w:r>
    </w:p>
    <w:p w:rsidR="008732C1" w:rsidRPr="00603262"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w:t>
      </w:r>
      <w:r>
        <w:rPr>
          <w:rFonts w:ascii="Times New Roman" w:hAnsi="Times New Roman" w:cs="Times New Roman"/>
          <w:sz w:val="24"/>
          <w:lang w:val="en-US"/>
        </w:rPr>
        <w:t>8</w:t>
      </w:r>
      <w:r w:rsidRPr="004008DE">
        <w:rPr>
          <w:rFonts w:ascii="Times New Roman" w:hAnsi="Times New Roman" w:cs="Times New Roman"/>
          <w:sz w:val="24"/>
          <w:lang w:val="bg-BG"/>
        </w:rPr>
        <w:t xml:space="preserve"> Фрактури на </w:t>
      </w:r>
      <w:r>
        <w:rPr>
          <w:rFonts w:ascii="Times New Roman" w:hAnsi="Times New Roman" w:cs="Times New Roman"/>
          <w:sz w:val="24"/>
          <w:lang w:val="bg-BG"/>
        </w:rPr>
        <w:t>бедрената кост</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w:t>
      </w:r>
      <w:r>
        <w:rPr>
          <w:rFonts w:ascii="Times New Roman" w:hAnsi="Times New Roman" w:cs="Times New Roman"/>
          <w:sz w:val="24"/>
          <w:lang w:val="en-US"/>
        </w:rPr>
        <w:t>9</w:t>
      </w:r>
      <w:r w:rsidRPr="004008DE">
        <w:rPr>
          <w:rFonts w:ascii="Times New Roman" w:hAnsi="Times New Roman" w:cs="Times New Roman"/>
          <w:sz w:val="24"/>
          <w:lang w:val="bg-BG"/>
        </w:rPr>
        <w:t xml:space="preserve"> Травми на долния крайник дистално от коляното</w:t>
      </w:r>
    </w:p>
    <w:p w:rsidR="008732C1" w:rsidRPr="004008DE" w:rsidRDefault="008732C1" w:rsidP="008732C1">
      <w:pPr>
        <w:spacing w:after="0" w:line="240" w:lineRule="auto"/>
        <w:ind w:left="1080"/>
        <w:rPr>
          <w:rFonts w:ascii="Times New Roman" w:hAnsi="Times New Roman" w:cs="Times New Roman"/>
          <w:sz w:val="24"/>
          <w:lang w:val="bg-BG"/>
        </w:rPr>
      </w:pPr>
      <w:r>
        <w:rPr>
          <w:rFonts w:ascii="Times New Roman" w:hAnsi="Times New Roman" w:cs="Times New Roman"/>
          <w:sz w:val="24"/>
          <w:lang w:val="bg-BG"/>
        </w:rPr>
        <w:t>4.1</w:t>
      </w:r>
      <w:r>
        <w:rPr>
          <w:rFonts w:ascii="Times New Roman" w:hAnsi="Times New Roman" w:cs="Times New Roman"/>
          <w:sz w:val="24"/>
          <w:lang w:val="en-US"/>
        </w:rPr>
        <w:t>0</w:t>
      </w:r>
      <w:r w:rsidRPr="004008DE">
        <w:rPr>
          <w:rFonts w:ascii="Times New Roman" w:hAnsi="Times New Roman" w:cs="Times New Roman"/>
          <w:sz w:val="24"/>
          <w:lang w:val="bg-BG"/>
        </w:rPr>
        <w:t xml:space="preserve"> Множествени фрактури</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4.1</w:t>
      </w:r>
      <w:r>
        <w:rPr>
          <w:rFonts w:ascii="Times New Roman" w:hAnsi="Times New Roman" w:cs="Times New Roman"/>
          <w:sz w:val="24"/>
          <w:lang w:val="en-US"/>
        </w:rPr>
        <w:t>1</w:t>
      </w:r>
      <w:r w:rsidRPr="004008DE">
        <w:rPr>
          <w:rFonts w:ascii="Times New Roman" w:hAnsi="Times New Roman" w:cs="Times New Roman"/>
          <w:sz w:val="24"/>
          <w:lang w:val="bg-BG"/>
        </w:rPr>
        <w:t xml:space="preserve"> Политравма</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4.1</w:t>
      </w:r>
      <w:r>
        <w:rPr>
          <w:rFonts w:ascii="Times New Roman" w:hAnsi="Times New Roman" w:cs="Times New Roman"/>
          <w:sz w:val="24"/>
          <w:lang w:val="en-US"/>
        </w:rPr>
        <w:t>2</w:t>
      </w:r>
      <w:r w:rsidRPr="004008DE">
        <w:rPr>
          <w:rFonts w:ascii="Times New Roman" w:hAnsi="Times New Roman" w:cs="Times New Roman"/>
          <w:sz w:val="24"/>
          <w:lang w:val="bg-BG"/>
        </w:rPr>
        <w:t xml:space="preserve"> Травми дистално от коляното, лекувани с имобилизация</w:t>
      </w:r>
    </w:p>
    <w:p w:rsidR="008732C1" w:rsidRPr="004008DE" w:rsidRDefault="008732C1" w:rsidP="008732C1">
      <w:pPr>
        <w:spacing w:after="0" w:line="240" w:lineRule="auto"/>
        <w:ind w:left="1080"/>
        <w:rPr>
          <w:rFonts w:ascii="Times New Roman" w:hAnsi="Times New Roman" w:cs="Times New Roman"/>
          <w:sz w:val="24"/>
          <w:lang w:val="bg-BG"/>
        </w:rPr>
      </w:pPr>
      <w:r w:rsidRPr="004008DE">
        <w:rPr>
          <w:rFonts w:ascii="Times New Roman" w:hAnsi="Times New Roman" w:cs="Times New Roman"/>
          <w:sz w:val="24"/>
          <w:lang w:val="bg-BG"/>
        </w:rPr>
        <w:t>4.1</w:t>
      </w:r>
      <w:r>
        <w:rPr>
          <w:rFonts w:ascii="Times New Roman" w:hAnsi="Times New Roman" w:cs="Times New Roman"/>
          <w:sz w:val="24"/>
          <w:lang w:val="en-US"/>
        </w:rPr>
        <w:t>3</w:t>
      </w:r>
      <w:r>
        <w:rPr>
          <w:rFonts w:ascii="Times New Roman" w:hAnsi="Times New Roman" w:cs="Times New Roman"/>
          <w:sz w:val="24"/>
          <w:lang w:val="bg-BG"/>
        </w:rPr>
        <w:t xml:space="preserve"> Операции за от</w:t>
      </w:r>
      <w:r w:rsidRPr="004008DE">
        <w:rPr>
          <w:rFonts w:ascii="Times New Roman" w:hAnsi="Times New Roman" w:cs="Times New Roman"/>
          <w:sz w:val="24"/>
          <w:lang w:val="bg-BG"/>
        </w:rPr>
        <w:t>страняване на импланти от долния крайник</w:t>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Поведение при пациенти на антикоагулантна/антиагрегантна терапия</w:t>
      </w:r>
    </w:p>
    <w:p w:rsidR="008732C1" w:rsidRPr="004008DE" w:rsidRDefault="008732C1" w:rsidP="008732C1">
      <w:pPr>
        <w:pStyle w:val="ListParagraph"/>
        <w:numPr>
          <w:ilvl w:val="0"/>
          <w:numId w:val="1"/>
        </w:num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Литература</w:t>
      </w: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p>
    <w:p w:rsidR="001857DC" w:rsidRPr="004008DE" w:rsidRDefault="001857DC" w:rsidP="00276280">
      <w:pPr>
        <w:spacing w:line="240" w:lineRule="auto"/>
        <w:rPr>
          <w:rFonts w:ascii="Times New Roman" w:hAnsi="Times New Roman" w:cs="Times New Roman"/>
          <w:sz w:val="24"/>
          <w:lang w:val="bg-BG"/>
        </w:rPr>
      </w:pPr>
      <w:r w:rsidRPr="004008DE">
        <w:rPr>
          <w:rFonts w:ascii="Times New Roman" w:hAnsi="Times New Roman" w:cs="Times New Roman"/>
          <w:sz w:val="24"/>
          <w:lang w:val="bg-BG"/>
        </w:rPr>
        <w:br w:type="page"/>
      </w:r>
    </w:p>
    <w:p w:rsidR="001857DC" w:rsidRPr="00DA0BF0" w:rsidRDefault="00DA0BF0" w:rsidP="00DA4B6B">
      <w:pPr>
        <w:spacing w:line="240" w:lineRule="auto"/>
        <w:ind w:firstLine="720"/>
        <w:rPr>
          <w:rFonts w:ascii="Times New Roman" w:hAnsi="Times New Roman" w:cs="Times New Roman"/>
          <w:b/>
          <w:sz w:val="24"/>
          <w:lang w:val="bg-BG"/>
        </w:rPr>
      </w:pPr>
      <w:r>
        <w:rPr>
          <w:rFonts w:ascii="Times New Roman" w:hAnsi="Times New Roman" w:cs="Times New Roman"/>
          <w:b/>
          <w:sz w:val="24"/>
          <w:lang w:val="en-US"/>
        </w:rPr>
        <w:lastRenderedPageBreak/>
        <w:t>1</w:t>
      </w:r>
      <w:r>
        <w:rPr>
          <w:rFonts w:ascii="Times New Roman" w:hAnsi="Times New Roman" w:cs="Times New Roman"/>
          <w:b/>
          <w:sz w:val="24"/>
          <w:lang w:val="bg-BG"/>
        </w:rPr>
        <w:t xml:space="preserve">. </w:t>
      </w:r>
      <w:r w:rsidR="001857DC" w:rsidRPr="00DA0BF0">
        <w:rPr>
          <w:rFonts w:ascii="Times New Roman" w:hAnsi="Times New Roman" w:cs="Times New Roman"/>
          <w:b/>
          <w:sz w:val="24"/>
          <w:lang w:val="bg-BG"/>
        </w:rPr>
        <w:t>РИСКОВИ ФАКТОРИ</w:t>
      </w:r>
    </w:p>
    <w:p w:rsidR="00B53C63" w:rsidRPr="00DA0BF0" w:rsidRDefault="00DA0BF0" w:rsidP="00276280">
      <w:pPr>
        <w:spacing w:line="240" w:lineRule="auto"/>
        <w:ind w:firstLine="720"/>
        <w:rPr>
          <w:rFonts w:ascii="Times New Roman" w:hAnsi="Times New Roman" w:cs="Times New Roman"/>
          <w:b/>
          <w:sz w:val="24"/>
          <w:u w:val="single"/>
          <w:lang w:val="bg-BG"/>
        </w:rPr>
      </w:pPr>
      <w:r>
        <w:rPr>
          <w:rFonts w:ascii="Times New Roman" w:hAnsi="Times New Roman" w:cs="Times New Roman"/>
          <w:b/>
          <w:sz w:val="24"/>
          <w:u w:val="single"/>
          <w:lang w:val="bg-BG"/>
        </w:rPr>
        <w:t xml:space="preserve">1.1. </w:t>
      </w:r>
      <w:r w:rsidR="00B53C63" w:rsidRPr="00DA0BF0">
        <w:rPr>
          <w:rFonts w:ascii="Times New Roman" w:hAnsi="Times New Roman" w:cs="Times New Roman"/>
          <w:b/>
          <w:sz w:val="24"/>
          <w:u w:val="single"/>
          <w:lang w:val="bg-BG"/>
        </w:rPr>
        <w:t>Генетични фактори</w:t>
      </w:r>
    </w:p>
    <w:p w:rsidR="00B53C63" w:rsidRPr="00603262" w:rsidRDefault="00B53C63" w:rsidP="00276280">
      <w:pPr>
        <w:spacing w:line="240" w:lineRule="auto"/>
        <w:rPr>
          <w:rFonts w:ascii="Times New Roman" w:hAnsi="Times New Roman" w:cs="Times New Roman"/>
          <w:sz w:val="24"/>
          <w:lang w:val="bg-BG"/>
        </w:rPr>
      </w:pPr>
      <w:r w:rsidRPr="00603262">
        <w:rPr>
          <w:rFonts w:ascii="Times New Roman" w:hAnsi="Times New Roman" w:cs="Times New Roman"/>
          <w:sz w:val="24"/>
          <w:lang w:val="bg-BG"/>
        </w:rPr>
        <w:t>Дефицит на антитромбин, протеин С и S</w:t>
      </w:r>
    </w:p>
    <w:p w:rsidR="00B53C63" w:rsidRPr="00603262" w:rsidRDefault="00B53C63" w:rsidP="00276280">
      <w:pPr>
        <w:spacing w:line="240" w:lineRule="auto"/>
        <w:rPr>
          <w:rFonts w:ascii="Times New Roman" w:hAnsi="Times New Roman" w:cs="Times New Roman"/>
          <w:sz w:val="24"/>
          <w:lang w:val="bg-BG"/>
        </w:rPr>
      </w:pPr>
      <w:r w:rsidRPr="00603262">
        <w:rPr>
          <w:rFonts w:ascii="Times New Roman" w:hAnsi="Times New Roman" w:cs="Times New Roman"/>
          <w:sz w:val="24"/>
          <w:lang w:val="bg-BG"/>
        </w:rPr>
        <w:t>Вродена резистентност срещу протеин С (мутация на фактор V</w:t>
      </w:r>
      <w:r w:rsidR="004D2651" w:rsidRPr="00603262">
        <w:rPr>
          <w:rFonts w:ascii="Times New Roman" w:hAnsi="Times New Roman" w:cs="Times New Roman"/>
          <w:sz w:val="24"/>
          <w:lang w:val="bg-BG"/>
        </w:rPr>
        <w:t xml:space="preserve"> – фон Лайден</w:t>
      </w:r>
      <w:r w:rsidRPr="00603262">
        <w:rPr>
          <w:rFonts w:ascii="Times New Roman" w:hAnsi="Times New Roman" w:cs="Times New Roman"/>
          <w:sz w:val="24"/>
          <w:lang w:val="bg-BG"/>
        </w:rPr>
        <w:t>)</w:t>
      </w:r>
    </w:p>
    <w:p w:rsidR="00B53C63" w:rsidRPr="00603262" w:rsidRDefault="00B53C63" w:rsidP="00276280">
      <w:pPr>
        <w:spacing w:line="240" w:lineRule="auto"/>
        <w:rPr>
          <w:rFonts w:ascii="Times New Roman" w:hAnsi="Times New Roman" w:cs="Times New Roman"/>
          <w:sz w:val="24"/>
          <w:lang w:val="bg-BG"/>
        </w:rPr>
      </w:pPr>
      <w:r w:rsidRPr="00603262">
        <w:rPr>
          <w:rFonts w:ascii="Times New Roman" w:hAnsi="Times New Roman" w:cs="Times New Roman"/>
          <w:sz w:val="24"/>
          <w:lang w:val="bg-BG"/>
        </w:rPr>
        <w:t>Мутация на фактор ІІ (протромбин)</w:t>
      </w:r>
      <w:r w:rsidR="00D07689" w:rsidRPr="00603262">
        <w:rPr>
          <w:rFonts w:ascii="Times New Roman" w:hAnsi="Times New Roman" w:cs="Times New Roman"/>
          <w:sz w:val="24"/>
          <w:vertAlign w:val="superscript"/>
          <w:lang w:val="bg-BG"/>
        </w:rPr>
        <w:t>1</w:t>
      </w:r>
    </w:p>
    <w:p w:rsidR="00B53C63" w:rsidRPr="00DA0BF0" w:rsidRDefault="00DA0BF0" w:rsidP="00276280">
      <w:pPr>
        <w:spacing w:line="240" w:lineRule="auto"/>
        <w:ind w:firstLine="720"/>
        <w:rPr>
          <w:rFonts w:ascii="Times New Roman" w:hAnsi="Times New Roman" w:cs="Times New Roman"/>
          <w:sz w:val="24"/>
          <w:u w:val="single"/>
          <w:lang w:val="bg-BG"/>
        </w:rPr>
      </w:pPr>
      <w:r w:rsidRPr="00DA0BF0">
        <w:rPr>
          <w:rFonts w:ascii="Times New Roman" w:hAnsi="Times New Roman" w:cs="Times New Roman"/>
          <w:b/>
          <w:sz w:val="24"/>
          <w:u w:val="single"/>
          <w:lang w:val="bg-BG"/>
        </w:rPr>
        <w:t>1.2</w:t>
      </w:r>
      <w:r>
        <w:rPr>
          <w:rFonts w:ascii="Times New Roman" w:hAnsi="Times New Roman" w:cs="Times New Roman"/>
          <w:b/>
          <w:sz w:val="24"/>
          <w:u w:val="single"/>
          <w:lang w:val="bg-BG"/>
        </w:rPr>
        <w:t>.</w:t>
      </w:r>
      <w:r w:rsidRPr="00DA0BF0">
        <w:rPr>
          <w:rFonts w:ascii="Times New Roman" w:hAnsi="Times New Roman" w:cs="Times New Roman"/>
          <w:b/>
          <w:sz w:val="24"/>
          <w:u w:val="single"/>
          <w:lang w:val="bg-BG"/>
        </w:rPr>
        <w:t xml:space="preserve"> </w:t>
      </w:r>
      <w:r w:rsidR="00B53C63" w:rsidRPr="00DA0BF0">
        <w:rPr>
          <w:rFonts w:ascii="Times New Roman" w:hAnsi="Times New Roman" w:cs="Times New Roman"/>
          <w:b/>
          <w:sz w:val="24"/>
          <w:u w:val="single"/>
          <w:lang w:val="bg-BG"/>
        </w:rPr>
        <w:t>Придобити фактори</w:t>
      </w:r>
    </w:p>
    <w:p w:rsidR="00B53C63" w:rsidRPr="004008DE" w:rsidRDefault="00B53C63"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Възраст</w:t>
      </w:r>
    </w:p>
    <w:p w:rsidR="008B1E9D" w:rsidRPr="004008DE" w:rsidRDefault="008B1E9D"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 xml:space="preserve">След 40-годишна възраст се наблюдава повишаване на риска за </w:t>
      </w:r>
      <w:r w:rsidR="009E750D">
        <w:rPr>
          <w:rFonts w:ascii="Times New Roman" w:hAnsi="Times New Roman" w:cs="Times New Roman"/>
          <w:sz w:val="24"/>
          <w:lang w:val="bg-BG"/>
        </w:rPr>
        <w:t>Д</w:t>
      </w:r>
      <w:r w:rsidRPr="004008DE">
        <w:rPr>
          <w:rFonts w:ascii="Times New Roman" w:hAnsi="Times New Roman" w:cs="Times New Roman"/>
          <w:sz w:val="24"/>
          <w:lang w:val="bg-BG"/>
        </w:rPr>
        <w:t>ВТ, като този риск нараства рязко след 60-годишна възраст.</w:t>
      </w:r>
      <w:r w:rsidRPr="004008DE">
        <w:rPr>
          <w:rFonts w:ascii="Times New Roman" w:hAnsi="Times New Roman" w:cs="Times New Roman"/>
          <w:sz w:val="24"/>
          <w:vertAlign w:val="superscript"/>
          <w:lang w:val="bg-BG"/>
        </w:rPr>
        <w:t>2,3</w:t>
      </w:r>
    </w:p>
    <w:p w:rsidR="003F73E4" w:rsidRPr="004008DE" w:rsidRDefault="003F73E4"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Злокачествени заболявания</w:t>
      </w:r>
    </w:p>
    <w:p w:rsidR="003F73E4" w:rsidRPr="004008DE" w:rsidRDefault="003F73E4"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 xml:space="preserve">Пациентите със злокачествени заболявания са с над 7-кратно повишен риск за </w:t>
      </w:r>
      <w:r w:rsidR="00E70376">
        <w:rPr>
          <w:rFonts w:ascii="Times New Roman" w:hAnsi="Times New Roman" w:cs="Times New Roman"/>
          <w:sz w:val="24"/>
          <w:lang w:val="bg-BG"/>
        </w:rPr>
        <w:t>Д</w:t>
      </w:r>
      <w:r w:rsidRPr="004008DE">
        <w:rPr>
          <w:rFonts w:ascii="Times New Roman" w:hAnsi="Times New Roman" w:cs="Times New Roman"/>
          <w:sz w:val="24"/>
          <w:lang w:val="bg-BG"/>
        </w:rPr>
        <w:t>ВТ</w:t>
      </w:r>
      <w:r w:rsidRPr="004008DE">
        <w:rPr>
          <w:rFonts w:ascii="Times New Roman" w:hAnsi="Times New Roman" w:cs="Times New Roman"/>
          <w:sz w:val="24"/>
          <w:vertAlign w:val="superscript"/>
          <w:lang w:val="bg-BG"/>
        </w:rPr>
        <w:t>4</w:t>
      </w:r>
      <w:r w:rsidRPr="004008DE">
        <w:rPr>
          <w:rFonts w:ascii="Times New Roman" w:hAnsi="Times New Roman" w:cs="Times New Roman"/>
          <w:sz w:val="24"/>
          <w:lang w:val="bg-BG"/>
        </w:rPr>
        <w:t xml:space="preserve">, </w:t>
      </w:r>
      <w:r w:rsidR="00D07689" w:rsidRPr="004008DE">
        <w:rPr>
          <w:rFonts w:ascii="Times New Roman" w:hAnsi="Times New Roman" w:cs="Times New Roman"/>
          <w:sz w:val="24"/>
          <w:lang w:val="bg-BG"/>
        </w:rPr>
        <w:t>като рискът варира в зависимост от локализацията на малигнитета. С най-висок риск са пациентите с карцином на панкреаса</w:t>
      </w:r>
      <w:r w:rsidR="00943007" w:rsidRPr="004008DE">
        <w:rPr>
          <w:rFonts w:ascii="Times New Roman" w:hAnsi="Times New Roman" w:cs="Times New Roman"/>
          <w:sz w:val="24"/>
          <w:lang w:val="bg-BG"/>
        </w:rPr>
        <w:t xml:space="preserve">, </w:t>
      </w:r>
      <w:r w:rsidR="00D07689" w:rsidRPr="004008DE">
        <w:rPr>
          <w:rFonts w:ascii="Times New Roman" w:hAnsi="Times New Roman" w:cs="Times New Roman"/>
          <w:sz w:val="24"/>
          <w:lang w:val="bg-BG"/>
        </w:rPr>
        <w:t>дебелото черво,</w:t>
      </w:r>
      <w:r w:rsidR="00943007" w:rsidRPr="004008DE">
        <w:rPr>
          <w:rFonts w:ascii="Times New Roman" w:hAnsi="Times New Roman" w:cs="Times New Roman"/>
          <w:sz w:val="24"/>
          <w:lang w:val="bg-BG"/>
        </w:rPr>
        <w:t xml:space="preserve"> стомаха, белия дроб, хематологични злокачествени заболявания,</w:t>
      </w:r>
      <w:r w:rsidR="00D07689" w:rsidRPr="004008DE">
        <w:rPr>
          <w:rFonts w:ascii="Times New Roman" w:hAnsi="Times New Roman" w:cs="Times New Roman"/>
          <w:sz w:val="24"/>
          <w:lang w:val="bg-BG"/>
        </w:rPr>
        <w:t xml:space="preserve"> както и тези с метастази.</w:t>
      </w:r>
      <w:r w:rsidR="00943007" w:rsidRPr="004008DE">
        <w:rPr>
          <w:rFonts w:ascii="Times New Roman" w:hAnsi="Times New Roman" w:cs="Times New Roman"/>
          <w:sz w:val="24"/>
          <w:lang w:val="bg-BG"/>
        </w:rPr>
        <w:t xml:space="preserve"> Най-нисък е рискът при пациентите с карцином на простатата и гърдата.</w:t>
      </w:r>
      <w:r w:rsidR="00D07689" w:rsidRPr="004008DE">
        <w:rPr>
          <w:rFonts w:ascii="Times New Roman" w:hAnsi="Times New Roman" w:cs="Times New Roman"/>
          <w:sz w:val="24"/>
          <w:vertAlign w:val="superscript"/>
          <w:lang w:val="bg-BG"/>
        </w:rPr>
        <w:t>5,6</w:t>
      </w:r>
      <w:r w:rsidR="00943007" w:rsidRPr="004008DE">
        <w:rPr>
          <w:rFonts w:ascii="Times New Roman" w:hAnsi="Times New Roman" w:cs="Times New Roman"/>
          <w:sz w:val="24"/>
          <w:vertAlign w:val="superscript"/>
          <w:lang w:val="bg-BG"/>
        </w:rPr>
        <w:t>,7</w:t>
      </w:r>
    </w:p>
    <w:p w:rsidR="00B53C63" w:rsidRPr="004008DE" w:rsidRDefault="00EB7D51"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Бременност и ранен постпартален период</w:t>
      </w:r>
    </w:p>
    <w:p w:rsidR="003B3361" w:rsidRPr="004008DE" w:rsidRDefault="00EB7D51"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 xml:space="preserve">По време на бременността рискът за </w:t>
      </w:r>
      <w:r w:rsidR="00E70376">
        <w:rPr>
          <w:rFonts w:ascii="Times New Roman" w:hAnsi="Times New Roman" w:cs="Times New Roman"/>
          <w:sz w:val="24"/>
          <w:lang w:val="bg-BG"/>
        </w:rPr>
        <w:t>Д</w:t>
      </w:r>
      <w:r w:rsidRPr="004008DE">
        <w:rPr>
          <w:rFonts w:ascii="Times New Roman" w:hAnsi="Times New Roman" w:cs="Times New Roman"/>
          <w:sz w:val="24"/>
          <w:lang w:val="bg-BG"/>
        </w:rPr>
        <w:t>ВТ е повишен 4- до 5-кратно, а през първите 3 месеца след раждането – 20-кратно.</w:t>
      </w:r>
      <w:r w:rsidRPr="004008DE">
        <w:rPr>
          <w:rFonts w:ascii="Times New Roman" w:hAnsi="Times New Roman" w:cs="Times New Roman"/>
          <w:sz w:val="24"/>
          <w:vertAlign w:val="superscript"/>
          <w:lang w:val="bg-BG"/>
        </w:rPr>
        <w:t>8,9</w:t>
      </w:r>
      <w:r w:rsidRPr="004008DE">
        <w:rPr>
          <w:rFonts w:ascii="Times New Roman" w:hAnsi="Times New Roman" w:cs="Times New Roman"/>
          <w:sz w:val="24"/>
          <w:lang w:val="bg-BG"/>
        </w:rPr>
        <w:t xml:space="preserve"> Допълнителни рискови фактори, свързани с допълнително повишаване на риска за </w:t>
      </w:r>
      <w:r w:rsidR="009A52C4">
        <w:rPr>
          <w:rFonts w:ascii="Times New Roman" w:hAnsi="Times New Roman" w:cs="Times New Roman"/>
          <w:sz w:val="24"/>
          <w:lang w:val="bg-BG"/>
        </w:rPr>
        <w:t>Д</w:t>
      </w:r>
      <w:r w:rsidRPr="004008DE">
        <w:rPr>
          <w:rFonts w:ascii="Times New Roman" w:hAnsi="Times New Roman" w:cs="Times New Roman"/>
          <w:sz w:val="24"/>
          <w:lang w:val="bg-BG"/>
        </w:rPr>
        <w:t xml:space="preserve">ВТ по време на бременността, са възраст &gt;35 години, афроамерикански произход, анамнеза за </w:t>
      </w:r>
      <w:r w:rsidR="009A52C4">
        <w:rPr>
          <w:rFonts w:ascii="Times New Roman" w:hAnsi="Times New Roman" w:cs="Times New Roman"/>
          <w:sz w:val="24"/>
          <w:lang w:val="bg-BG"/>
        </w:rPr>
        <w:t>Д</w:t>
      </w:r>
      <w:r w:rsidRPr="004008DE">
        <w:rPr>
          <w:rFonts w:ascii="Times New Roman" w:hAnsi="Times New Roman" w:cs="Times New Roman"/>
          <w:sz w:val="24"/>
          <w:lang w:val="bg-BG"/>
        </w:rPr>
        <w:t>ВТ, сърдечни заболявания, сърповидноклетъчна анемия, системен лупус еритематодес, затлъстяване, нарушения на водно-електролитния баланс и постпартална инфекция</w:t>
      </w:r>
      <w:r w:rsidR="003B3361" w:rsidRPr="004008DE">
        <w:rPr>
          <w:rFonts w:ascii="Times New Roman" w:hAnsi="Times New Roman" w:cs="Times New Roman"/>
          <w:sz w:val="24"/>
          <w:lang w:val="bg-BG"/>
        </w:rPr>
        <w:t xml:space="preserve">. </w:t>
      </w:r>
      <w:r w:rsidR="003B3361" w:rsidRPr="004008DE">
        <w:rPr>
          <w:rFonts w:ascii="Times New Roman" w:hAnsi="Times New Roman" w:cs="Times New Roman"/>
          <w:sz w:val="24"/>
          <w:vertAlign w:val="superscript"/>
          <w:lang w:val="bg-BG"/>
        </w:rPr>
        <w:t>9, 10</w:t>
      </w:r>
    </w:p>
    <w:p w:rsidR="003B3361" w:rsidRPr="004008DE" w:rsidRDefault="00FC4A48"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Антифосфолипиден синдром</w:t>
      </w:r>
    </w:p>
    <w:p w:rsidR="00FC4A48" w:rsidRPr="004008DE" w:rsidRDefault="00FC4A48" w:rsidP="00276280">
      <w:pPr>
        <w:spacing w:line="240" w:lineRule="auto"/>
        <w:ind w:firstLine="720"/>
        <w:rPr>
          <w:rFonts w:ascii="Times New Roman" w:hAnsi="Times New Roman" w:cs="Times New Roman"/>
          <w:sz w:val="24"/>
          <w:vertAlign w:val="superscript"/>
          <w:lang w:val="bg-BG"/>
        </w:rPr>
      </w:pPr>
      <w:r w:rsidRPr="004008DE">
        <w:rPr>
          <w:rFonts w:ascii="Times New Roman" w:hAnsi="Times New Roman" w:cs="Times New Roman"/>
          <w:sz w:val="24"/>
          <w:lang w:val="bg-BG"/>
        </w:rPr>
        <w:t xml:space="preserve">Антифосфолипидният синдром представлява заболяване с ненапълно изяснена патофизиология, при което наличните антикардиолипинови антитела, </w:t>
      </w:r>
      <w:r w:rsidR="00623F50" w:rsidRPr="004008DE">
        <w:rPr>
          <w:rFonts w:ascii="Times New Roman" w:hAnsi="Times New Roman" w:cs="Times New Roman"/>
          <w:sz w:val="24"/>
          <w:lang w:val="bg-BG"/>
        </w:rPr>
        <w:t>чието образуване се отключва след контакт с вирусни и бактериални антигени със сходство с ендогенни протеини, водят до активиране на тромбоцитите, моноцитите и ендотелните клетки.</w:t>
      </w:r>
      <w:r w:rsidR="00623F50" w:rsidRPr="004008DE">
        <w:rPr>
          <w:rFonts w:ascii="Times New Roman" w:hAnsi="Times New Roman" w:cs="Times New Roman"/>
          <w:sz w:val="24"/>
          <w:vertAlign w:val="superscript"/>
          <w:lang w:val="bg-BG"/>
        </w:rPr>
        <w:t>11</w:t>
      </w:r>
      <w:r w:rsidR="00623F50" w:rsidRPr="004008DE">
        <w:rPr>
          <w:rFonts w:ascii="Times New Roman" w:hAnsi="Times New Roman" w:cs="Times New Roman"/>
          <w:sz w:val="24"/>
          <w:lang w:val="bg-BG"/>
        </w:rPr>
        <w:t xml:space="preserve"> Рискът за развитие на </w:t>
      </w:r>
      <w:r w:rsidR="00DA0E49">
        <w:rPr>
          <w:rFonts w:ascii="Times New Roman" w:hAnsi="Times New Roman" w:cs="Times New Roman"/>
          <w:sz w:val="24"/>
          <w:lang w:val="bg-BG"/>
        </w:rPr>
        <w:t>Д</w:t>
      </w:r>
      <w:r w:rsidR="00623F50" w:rsidRPr="004008DE">
        <w:rPr>
          <w:rFonts w:ascii="Times New Roman" w:hAnsi="Times New Roman" w:cs="Times New Roman"/>
          <w:sz w:val="24"/>
          <w:lang w:val="bg-BG"/>
        </w:rPr>
        <w:t>ВТ при пациентите с антифосфолипиден синдром е между 10 и 50% през всяка година от живота им. </w:t>
      </w:r>
      <w:r w:rsidR="00623F50" w:rsidRPr="004008DE">
        <w:rPr>
          <w:rFonts w:ascii="Times New Roman" w:hAnsi="Times New Roman" w:cs="Times New Roman"/>
          <w:sz w:val="24"/>
          <w:vertAlign w:val="superscript"/>
          <w:lang w:val="bg-BG"/>
        </w:rPr>
        <w:t>12, 13</w:t>
      </w:r>
    </w:p>
    <w:p w:rsidR="00623F50" w:rsidRPr="004008DE" w:rsidRDefault="00623F50"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Медикаменти</w:t>
      </w:r>
    </w:p>
    <w:p w:rsidR="00623F50" w:rsidRPr="004008DE" w:rsidRDefault="00623F50" w:rsidP="00276280">
      <w:pPr>
        <w:spacing w:line="240" w:lineRule="auto"/>
        <w:rPr>
          <w:rFonts w:ascii="Times New Roman" w:hAnsi="Times New Roman" w:cs="Times New Roman"/>
          <w:sz w:val="24"/>
          <w:vertAlign w:val="superscript"/>
          <w:lang w:val="bg-BG"/>
        </w:rPr>
      </w:pPr>
      <w:r w:rsidRPr="004008DE">
        <w:rPr>
          <w:rFonts w:ascii="Times New Roman" w:hAnsi="Times New Roman" w:cs="Times New Roman"/>
          <w:i/>
          <w:sz w:val="24"/>
          <w:lang w:val="bg-BG"/>
        </w:rPr>
        <w:t>Перорални контрацептиви</w:t>
      </w:r>
      <w:r w:rsidR="00F863E5" w:rsidRPr="004008DE">
        <w:rPr>
          <w:rFonts w:ascii="Times New Roman" w:hAnsi="Times New Roman" w:cs="Times New Roman"/>
          <w:sz w:val="24"/>
          <w:lang w:val="bg-BG"/>
        </w:rPr>
        <w:t xml:space="preserve"> – 2 до 6 пъти повишен риск, особено през първата година от употребата им. </w:t>
      </w:r>
      <w:r w:rsidR="00F863E5" w:rsidRPr="004008DE">
        <w:rPr>
          <w:rFonts w:ascii="Times New Roman" w:hAnsi="Times New Roman" w:cs="Times New Roman"/>
          <w:sz w:val="24"/>
          <w:vertAlign w:val="superscript"/>
          <w:lang w:val="bg-BG"/>
        </w:rPr>
        <w:t>14, 15, 16</w:t>
      </w:r>
    </w:p>
    <w:p w:rsidR="00623F50" w:rsidRPr="004008DE" w:rsidRDefault="00F863E5" w:rsidP="00276280">
      <w:pPr>
        <w:spacing w:line="240" w:lineRule="auto"/>
        <w:rPr>
          <w:rFonts w:ascii="Times New Roman" w:hAnsi="Times New Roman" w:cs="Times New Roman"/>
          <w:sz w:val="24"/>
          <w:lang w:val="bg-BG"/>
        </w:rPr>
      </w:pPr>
      <w:r w:rsidRPr="004008DE">
        <w:rPr>
          <w:rFonts w:ascii="Times New Roman" w:hAnsi="Times New Roman" w:cs="Times New Roman"/>
          <w:i/>
          <w:sz w:val="24"/>
          <w:lang w:val="bg-BG"/>
        </w:rPr>
        <w:t xml:space="preserve">Хормонозаместителна терапия с естрогени и прогестерон </w:t>
      </w:r>
      <w:r w:rsidRPr="00DA0BF0">
        <w:rPr>
          <w:rFonts w:ascii="Times New Roman" w:hAnsi="Times New Roman" w:cs="Times New Roman"/>
          <w:sz w:val="24"/>
          <w:lang w:val="bg-BG"/>
        </w:rPr>
        <w:t>–</w:t>
      </w:r>
      <w:r w:rsidRPr="004008DE">
        <w:rPr>
          <w:rFonts w:ascii="Times New Roman" w:hAnsi="Times New Roman" w:cs="Times New Roman"/>
          <w:sz w:val="24"/>
          <w:lang w:val="bg-BG"/>
        </w:rPr>
        <w:t>2 до 4 пъти повишен риск, особено през първата година</w:t>
      </w:r>
      <w:r w:rsidR="00603262">
        <w:rPr>
          <w:rFonts w:ascii="Times New Roman" w:hAnsi="Times New Roman" w:cs="Times New Roman"/>
          <w:sz w:val="24"/>
          <w:lang w:val="bg-BG"/>
        </w:rPr>
        <w:t xml:space="preserve"> от употребата им</w:t>
      </w:r>
      <w:r w:rsidRPr="004008DE">
        <w:rPr>
          <w:rFonts w:ascii="Times New Roman" w:hAnsi="Times New Roman" w:cs="Times New Roman"/>
          <w:sz w:val="24"/>
          <w:lang w:val="bg-BG"/>
        </w:rPr>
        <w:t>.</w:t>
      </w:r>
      <w:r w:rsidR="00965505" w:rsidRPr="004008DE">
        <w:rPr>
          <w:rFonts w:ascii="Times New Roman" w:hAnsi="Times New Roman" w:cs="Times New Roman"/>
          <w:sz w:val="24"/>
          <w:vertAlign w:val="superscript"/>
          <w:lang w:val="bg-BG"/>
        </w:rPr>
        <w:t>17, 18</w:t>
      </w:r>
    </w:p>
    <w:p w:rsidR="007C4880" w:rsidRPr="004008DE" w:rsidRDefault="007C4880" w:rsidP="00276280">
      <w:pPr>
        <w:spacing w:line="240" w:lineRule="auto"/>
        <w:rPr>
          <w:rFonts w:ascii="Times New Roman" w:hAnsi="Times New Roman" w:cs="Times New Roman"/>
          <w:sz w:val="24"/>
          <w:lang w:val="bg-BG"/>
        </w:rPr>
      </w:pPr>
      <w:r w:rsidRPr="004008DE">
        <w:rPr>
          <w:rFonts w:ascii="Times New Roman" w:hAnsi="Times New Roman" w:cs="Times New Roman"/>
          <w:i/>
          <w:sz w:val="24"/>
          <w:lang w:val="bg-BG"/>
        </w:rPr>
        <w:t>Цитостатици –</w:t>
      </w:r>
      <w:r w:rsidRPr="004008DE">
        <w:rPr>
          <w:rFonts w:ascii="Times New Roman" w:hAnsi="Times New Roman" w:cs="Times New Roman"/>
          <w:sz w:val="24"/>
          <w:lang w:val="bg-BG"/>
        </w:rPr>
        <w:t>талидомид, леналидомид, бевацизумаб.</w:t>
      </w:r>
      <w:r w:rsidRPr="004008DE">
        <w:rPr>
          <w:rFonts w:ascii="Times New Roman" w:hAnsi="Times New Roman" w:cs="Times New Roman"/>
          <w:sz w:val="24"/>
          <w:vertAlign w:val="superscript"/>
          <w:lang w:val="bg-BG"/>
        </w:rPr>
        <w:t xml:space="preserve">19, 20, 21, 22 </w:t>
      </w:r>
    </w:p>
    <w:p w:rsidR="007C4880" w:rsidRPr="004008DE" w:rsidRDefault="007C4880" w:rsidP="00276280">
      <w:pPr>
        <w:spacing w:line="240" w:lineRule="auto"/>
        <w:rPr>
          <w:rFonts w:ascii="Times New Roman" w:hAnsi="Times New Roman" w:cs="Times New Roman"/>
          <w:i/>
          <w:sz w:val="24"/>
          <w:lang w:val="bg-BG"/>
        </w:rPr>
      </w:pPr>
      <w:r w:rsidRPr="004008DE">
        <w:rPr>
          <w:rFonts w:ascii="Times New Roman" w:hAnsi="Times New Roman" w:cs="Times New Roman"/>
          <w:i/>
          <w:sz w:val="24"/>
          <w:lang w:val="bg-BG"/>
        </w:rPr>
        <w:t>Еритропоетин, дарбепоетин</w:t>
      </w:r>
      <w:r w:rsidRPr="004008DE">
        <w:rPr>
          <w:rFonts w:ascii="Times New Roman" w:hAnsi="Times New Roman" w:cs="Times New Roman"/>
          <w:sz w:val="24"/>
          <w:vertAlign w:val="superscript"/>
          <w:lang w:val="bg-BG"/>
        </w:rPr>
        <w:t>23</w:t>
      </w:r>
    </w:p>
    <w:p w:rsidR="007C4880" w:rsidRPr="004008DE" w:rsidRDefault="007C4880" w:rsidP="00276280">
      <w:pPr>
        <w:spacing w:line="240" w:lineRule="auto"/>
        <w:rPr>
          <w:rFonts w:ascii="Times New Roman" w:hAnsi="Times New Roman" w:cs="Times New Roman"/>
          <w:sz w:val="24"/>
          <w:vertAlign w:val="superscript"/>
          <w:lang w:val="bg-BG"/>
        </w:rPr>
      </w:pPr>
      <w:r w:rsidRPr="004008DE">
        <w:rPr>
          <w:rFonts w:ascii="Times New Roman" w:hAnsi="Times New Roman" w:cs="Times New Roman"/>
          <w:i/>
          <w:sz w:val="24"/>
          <w:lang w:val="bg-BG"/>
        </w:rPr>
        <w:t xml:space="preserve">Антипсихотици – </w:t>
      </w:r>
      <w:r w:rsidRPr="004008DE">
        <w:rPr>
          <w:rFonts w:ascii="Times New Roman" w:hAnsi="Times New Roman" w:cs="Times New Roman"/>
          <w:sz w:val="24"/>
          <w:lang w:val="bg-BG"/>
        </w:rPr>
        <w:t>вероятно, но не сигурно повишаване на риска.</w:t>
      </w:r>
      <w:r w:rsidRPr="004008DE">
        <w:rPr>
          <w:rFonts w:ascii="Times New Roman" w:hAnsi="Times New Roman" w:cs="Times New Roman"/>
          <w:sz w:val="24"/>
          <w:vertAlign w:val="superscript"/>
          <w:lang w:val="bg-BG"/>
        </w:rPr>
        <w:t>24, 25</w:t>
      </w:r>
    </w:p>
    <w:p w:rsidR="008732C1" w:rsidRDefault="008732C1" w:rsidP="00276280">
      <w:pPr>
        <w:spacing w:line="240" w:lineRule="auto"/>
        <w:ind w:firstLine="720"/>
        <w:rPr>
          <w:rFonts w:ascii="Times New Roman" w:hAnsi="Times New Roman" w:cs="Times New Roman"/>
          <w:b/>
          <w:sz w:val="24"/>
          <w:lang w:val="bg-BG"/>
        </w:rPr>
      </w:pPr>
    </w:p>
    <w:p w:rsidR="00B76D2A" w:rsidRPr="004008DE" w:rsidRDefault="00B76D2A" w:rsidP="00276280">
      <w:pPr>
        <w:spacing w:line="240" w:lineRule="auto"/>
        <w:ind w:firstLine="720"/>
        <w:rPr>
          <w:rFonts w:ascii="Times New Roman" w:hAnsi="Times New Roman" w:cs="Times New Roman"/>
          <w:b/>
          <w:sz w:val="24"/>
          <w:vertAlign w:val="superscript"/>
          <w:lang w:val="bg-BG"/>
        </w:rPr>
      </w:pPr>
      <w:r w:rsidRPr="004008DE">
        <w:rPr>
          <w:rFonts w:ascii="Times New Roman" w:hAnsi="Times New Roman" w:cs="Times New Roman"/>
          <w:b/>
          <w:sz w:val="24"/>
          <w:lang w:val="bg-BG"/>
        </w:rPr>
        <w:lastRenderedPageBreak/>
        <w:t>BMI &gt; 30 kg/m</w:t>
      </w:r>
      <w:r w:rsidRPr="004008DE">
        <w:rPr>
          <w:rFonts w:ascii="Times New Roman" w:hAnsi="Times New Roman" w:cs="Times New Roman"/>
          <w:b/>
          <w:sz w:val="24"/>
          <w:vertAlign w:val="superscript"/>
          <w:lang w:val="bg-BG"/>
        </w:rPr>
        <w:t>2</w:t>
      </w:r>
    </w:p>
    <w:p w:rsidR="00B76D2A" w:rsidRPr="004008DE" w:rsidRDefault="008034DE"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 xml:space="preserve">При пациенти с BMI &gt;30 се наблюдава, в допълнение към понижената двигателна активност, повишена продукция на фибриноген и забавена фибринолиза, в резултат на което рискът за </w:t>
      </w:r>
      <w:r w:rsidR="00492399">
        <w:rPr>
          <w:rFonts w:ascii="Times New Roman" w:hAnsi="Times New Roman" w:cs="Times New Roman"/>
          <w:sz w:val="24"/>
          <w:lang w:val="bg-BG"/>
        </w:rPr>
        <w:t>Д</w:t>
      </w:r>
      <w:r w:rsidRPr="004008DE">
        <w:rPr>
          <w:rFonts w:ascii="Times New Roman" w:hAnsi="Times New Roman" w:cs="Times New Roman"/>
          <w:sz w:val="24"/>
          <w:lang w:val="bg-BG"/>
        </w:rPr>
        <w:t>ВТ при пациенти тях е увеличен приблизително двойно.</w:t>
      </w:r>
      <w:r w:rsidRPr="004008DE">
        <w:rPr>
          <w:rFonts w:ascii="Times New Roman" w:hAnsi="Times New Roman" w:cs="Times New Roman"/>
          <w:sz w:val="24"/>
          <w:vertAlign w:val="superscript"/>
          <w:lang w:val="bg-BG"/>
        </w:rPr>
        <w:t>26,</w:t>
      </w:r>
      <w:r w:rsidR="00DA4B6B">
        <w:rPr>
          <w:rFonts w:ascii="Times New Roman" w:hAnsi="Times New Roman" w:cs="Times New Roman"/>
          <w:sz w:val="24"/>
          <w:vertAlign w:val="superscript"/>
          <w:lang w:val="bg-BG"/>
        </w:rPr>
        <w:t> </w:t>
      </w:r>
      <w:r w:rsidRPr="004008DE">
        <w:rPr>
          <w:rFonts w:ascii="Times New Roman" w:hAnsi="Times New Roman" w:cs="Times New Roman"/>
          <w:sz w:val="24"/>
          <w:vertAlign w:val="superscript"/>
          <w:lang w:val="bg-BG"/>
        </w:rPr>
        <w:t>27</w:t>
      </w:r>
    </w:p>
    <w:p w:rsidR="008034DE" w:rsidRPr="004008DE" w:rsidRDefault="008034DE"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Нефрозен синдром (протеинурия &gt; 3g/24 ч.)</w:t>
      </w:r>
    </w:p>
    <w:p w:rsidR="008034DE" w:rsidRPr="004008DE" w:rsidRDefault="008034DE"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При пациентите с нефрозен синдром (такива с гломерулонефрити, диабетна нефропатия, системен лупус еритематодес и др.) в резултат на протеинурията се развива дефицит основно на антитромбин, както и на други фактори на коагулацията.</w:t>
      </w:r>
      <w:r w:rsidRPr="004008DE">
        <w:rPr>
          <w:rFonts w:ascii="Times New Roman" w:hAnsi="Times New Roman" w:cs="Times New Roman"/>
          <w:sz w:val="24"/>
          <w:vertAlign w:val="superscript"/>
          <w:lang w:val="bg-BG"/>
        </w:rPr>
        <w:t>28, 29</w:t>
      </w:r>
    </w:p>
    <w:p w:rsidR="007C4880" w:rsidRPr="004008DE" w:rsidRDefault="0050328A" w:rsidP="008732C1">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Атеросклероза</w:t>
      </w:r>
    </w:p>
    <w:p w:rsidR="0008213F" w:rsidRPr="004008DE" w:rsidRDefault="0008213F"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 xml:space="preserve">Атеросклерозата е свързана с повишена тромбоцитна активация и ускорен търновър на фибрина, макар че не е със сигурност установено дали повишеният риск за </w:t>
      </w:r>
      <w:r w:rsidR="00831DF4">
        <w:rPr>
          <w:rFonts w:ascii="Times New Roman" w:hAnsi="Times New Roman" w:cs="Times New Roman"/>
          <w:sz w:val="24"/>
          <w:lang w:val="bg-BG"/>
        </w:rPr>
        <w:t>Д</w:t>
      </w:r>
      <w:r w:rsidRPr="004008DE">
        <w:rPr>
          <w:rFonts w:ascii="Times New Roman" w:hAnsi="Times New Roman" w:cs="Times New Roman"/>
          <w:sz w:val="24"/>
          <w:lang w:val="bg-BG"/>
        </w:rPr>
        <w:t>ВТ се дължи на атеросклерозата, на съпътстващите заболявания, или на комбинация от двете</w:t>
      </w:r>
      <w:r w:rsidRPr="004008DE">
        <w:rPr>
          <w:rFonts w:ascii="Times New Roman" w:hAnsi="Times New Roman" w:cs="Times New Roman"/>
          <w:sz w:val="24"/>
          <w:vertAlign w:val="superscript"/>
          <w:lang w:val="bg-BG"/>
        </w:rPr>
        <w:t>30-32</w:t>
      </w:r>
      <w:r w:rsidRPr="004008DE">
        <w:rPr>
          <w:rFonts w:ascii="Times New Roman" w:hAnsi="Times New Roman" w:cs="Times New Roman"/>
          <w:sz w:val="24"/>
          <w:lang w:val="bg-BG"/>
        </w:rPr>
        <w:t>.</w:t>
      </w:r>
    </w:p>
    <w:p w:rsidR="0008213F" w:rsidRPr="004008DE" w:rsidRDefault="0008213F"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Стаза</w:t>
      </w:r>
    </w:p>
    <w:p w:rsidR="007C4880" w:rsidRPr="004008DE" w:rsidRDefault="00326B96" w:rsidP="00276280">
      <w:pPr>
        <w:spacing w:line="240" w:lineRule="auto"/>
        <w:rPr>
          <w:rFonts w:ascii="Times New Roman" w:hAnsi="Times New Roman" w:cs="Times New Roman"/>
          <w:sz w:val="24"/>
          <w:lang w:val="bg-BG"/>
        </w:rPr>
      </w:pPr>
      <w:r w:rsidRPr="004008DE">
        <w:rPr>
          <w:rFonts w:ascii="Times New Roman" w:hAnsi="Times New Roman" w:cs="Times New Roman"/>
          <w:sz w:val="24"/>
          <w:lang w:val="bg-BG"/>
        </w:rPr>
        <w:tab/>
      </w:r>
      <w:r w:rsidR="0008213F" w:rsidRPr="004008DE">
        <w:rPr>
          <w:rFonts w:ascii="Times New Roman" w:hAnsi="Times New Roman" w:cs="Times New Roman"/>
          <w:sz w:val="24"/>
          <w:lang w:val="bg-BG"/>
        </w:rPr>
        <w:t xml:space="preserve">Стазата по време на операция, както и тази </w:t>
      </w:r>
      <w:r w:rsidR="00CD130B" w:rsidRPr="004008DE">
        <w:rPr>
          <w:rFonts w:ascii="Times New Roman" w:hAnsi="Times New Roman" w:cs="Times New Roman"/>
          <w:sz w:val="24"/>
          <w:lang w:val="bg-BG"/>
        </w:rPr>
        <w:t xml:space="preserve">при </w:t>
      </w:r>
      <w:r w:rsidR="0008213F" w:rsidRPr="004008DE">
        <w:rPr>
          <w:rFonts w:ascii="Times New Roman" w:hAnsi="Times New Roman" w:cs="Times New Roman"/>
          <w:sz w:val="24"/>
          <w:lang w:val="bg-BG"/>
        </w:rPr>
        <w:t>имобилизация на подбедрицата</w:t>
      </w:r>
      <w:r w:rsidR="00CD130B" w:rsidRPr="004008DE">
        <w:rPr>
          <w:rFonts w:ascii="Times New Roman" w:hAnsi="Times New Roman" w:cs="Times New Roman"/>
          <w:sz w:val="24"/>
          <w:lang w:val="bg-BG"/>
        </w:rPr>
        <w:t xml:space="preserve"> в резултат на липсата на контракции на мускулатурата</w:t>
      </w:r>
      <w:r w:rsidR="0008213F" w:rsidRPr="004008DE">
        <w:rPr>
          <w:rFonts w:ascii="Times New Roman" w:hAnsi="Times New Roman" w:cs="Times New Roman"/>
          <w:sz w:val="24"/>
          <w:lang w:val="bg-BG"/>
        </w:rPr>
        <w:t xml:space="preserve">, повишават значително риска за развитие на ДВТ. </w:t>
      </w:r>
      <w:r w:rsidR="00CD130B" w:rsidRPr="004008DE">
        <w:rPr>
          <w:rFonts w:ascii="Times New Roman" w:hAnsi="Times New Roman" w:cs="Times New Roman"/>
          <w:sz w:val="24"/>
          <w:lang w:val="bg-BG"/>
        </w:rPr>
        <w:t xml:space="preserve">Сцинтиграфията със </w:t>
      </w:r>
      <w:r w:rsidR="00CD130B" w:rsidRPr="004008DE">
        <w:rPr>
          <w:rFonts w:ascii="Times New Roman" w:hAnsi="Times New Roman" w:cs="Times New Roman"/>
          <w:sz w:val="24"/>
          <w:vertAlign w:val="superscript"/>
          <w:lang w:val="bg-BG"/>
        </w:rPr>
        <w:t>125</w:t>
      </w:r>
      <w:r w:rsidR="00CD130B" w:rsidRPr="004008DE">
        <w:rPr>
          <w:rFonts w:ascii="Times New Roman" w:hAnsi="Times New Roman" w:cs="Times New Roman"/>
          <w:sz w:val="24"/>
          <w:lang w:val="bg-BG"/>
        </w:rPr>
        <w:t>I-фибриноген показва, че 50% от случаите на венозна тромбоза при оперирани пациенти настъпват интраоперативно, а още 30% - през следващите 48 часа.</w:t>
      </w:r>
      <w:r w:rsidR="00CD130B" w:rsidRPr="004008DE">
        <w:rPr>
          <w:rFonts w:ascii="Times New Roman" w:hAnsi="Times New Roman" w:cs="Times New Roman"/>
          <w:sz w:val="24"/>
          <w:vertAlign w:val="superscript"/>
          <w:lang w:val="bg-BG"/>
        </w:rPr>
        <w:t>33</w:t>
      </w:r>
    </w:p>
    <w:p w:rsidR="00623F50" w:rsidRPr="004008DE" w:rsidRDefault="00CD130B" w:rsidP="00276280">
      <w:pPr>
        <w:spacing w:line="240" w:lineRule="auto"/>
        <w:ind w:firstLine="720"/>
        <w:rPr>
          <w:rFonts w:ascii="Times New Roman" w:hAnsi="Times New Roman" w:cs="Times New Roman"/>
          <w:b/>
          <w:sz w:val="24"/>
          <w:lang w:val="bg-BG"/>
        </w:rPr>
      </w:pPr>
      <w:r w:rsidRPr="004008DE">
        <w:rPr>
          <w:rFonts w:ascii="Times New Roman" w:hAnsi="Times New Roman" w:cs="Times New Roman"/>
          <w:b/>
          <w:sz w:val="24"/>
          <w:lang w:val="bg-BG"/>
        </w:rPr>
        <w:t>Анамнеза за венозна тромбоемболия</w:t>
      </w:r>
    </w:p>
    <w:p w:rsidR="008A665D" w:rsidRPr="004008DE" w:rsidRDefault="00CD130B" w:rsidP="00276280">
      <w:pPr>
        <w:spacing w:line="240" w:lineRule="auto"/>
        <w:ind w:firstLine="720"/>
        <w:rPr>
          <w:rFonts w:ascii="Times New Roman" w:hAnsi="Times New Roman" w:cs="Times New Roman"/>
          <w:sz w:val="24"/>
          <w:vertAlign w:val="superscript"/>
          <w:lang w:val="bg-BG"/>
        </w:rPr>
      </w:pPr>
      <w:r w:rsidRPr="004008DE">
        <w:rPr>
          <w:rFonts w:ascii="Times New Roman" w:hAnsi="Times New Roman" w:cs="Times New Roman"/>
          <w:sz w:val="24"/>
          <w:lang w:val="bg-BG"/>
        </w:rPr>
        <w:t>Предшестващият епизод на венозна тромбоемболия е свързан с 25% кумулативен риск за период от 5 години за настъпване на нов епизод. Рискът за рецидив е най-висок през първите 6 месеца.</w:t>
      </w:r>
      <w:r w:rsidRPr="004008DE">
        <w:rPr>
          <w:rFonts w:ascii="Times New Roman" w:hAnsi="Times New Roman" w:cs="Times New Roman"/>
          <w:sz w:val="24"/>
          <w:vertAlign w:val="superscript"/>
          <w:lang w:val="bg-BG"/>
        </w:rPr>
        <w:t>34, 35</w:t>
      </w:r>
    </w:p>
    <w:p w:rsidR="008A665D" w:rsidRPr="004008DE" w:rsidRDefault="008A665D" w:rsidP="00276280">
      <w:pPr>
        <w:rPr>
          <w:rFonts w:ascii="Times New Roman" w:hAnsi="Times New Roman" w:cs="Times New Roman"/>
          <w:sz w:val="24"/>
          <w:vertAlign w:val="superscript"/>
          <w:lang w:val="bg-BG"/>
        </w:rPr>
      </w:pPr>
      <w:r w:rsidRPr="004008DE">
        <w:rPr>
          <w:rFonts w:ascii="Times New Roman" w:hAnsi="Times New Roman" w:cs="Times New Roman"/>
          <w:sz w:val="24"/>
          <w:vertAlign w:val="superscript"/>
          <w:lang w:val="bg-BG"/>
        </w:rPr>
        <w:br w:type="page"/>
      </w:r>
    </w:p>
    <w:p w:rsidR="00EB7D51" w:rsidRPr="00DA0BF0" w:rsidRDefault="00DA0BF0" w:rsidP="00276280">
      <w:pPr>
        <w:spacing w:line="240" w:lineRule="auto"/>
        <w:ind w:firstLine="720"/>
        <w:rPr>
          <w:rFonts w:ascii="Times New Roman" w:hAnsi="Times New Roman" w:cs="Times New Roman"/>
          <w:b/>
          <w:sz w:val="24"/>
          <w:u w:val="single"/>
          <w:lang w:val="bg-BG"/>
        </w:rPr>
      </w:pPr>
      <w:r>
        <w:rPr>
          <w:rFonts w:ascii="Times New Roman" w:hAnsi="Times New Roman" w:cs="Times New Roman"/>
          <w:b/>
          <w:sz w:val="24"/>
          <w:u w:val="single"/>
          <w:lang w:val="bg-BG"/>
        </w:rPr>
        <w:lastRenderedPageBreak/>
        <w:t xml:space="preserve">2. </w:t>
      </w:r>
      <w:r w:rsidR="00CD130B" w:rsidRPr="00DA0BF0">
        <w:rPr>
          <w:rFonts w:ascii="Times New Roman" w:hAnsi="Times New Roman" w:cs="Times New Roman"/>
          <w:b/>
          <w:sz w:val="24"/>
          <w:u w:val="single"/>
          <w:lang w:val="bg-BG"/>
        </w:rPr>
        <w:t>Оценка на риска за венозна тромбоемболия</w:t>
      </w:r>
    </w:p>
    <w:p w:rsidR="00EB7D51" w:rsidRPr="004008DE" w:rsidRDefault="00603262" w:rsidP="00276280">
      <w:pPr>
        <w:spacing w:line="240" w:lineRule="auto"/>
        <w:ind w:firstLine="720"/>
        <w:rPr>
          <w:rFonts w:ascii="Times New Roman" w:hAnsi="Times New Roman" w:cs="Times New Roman"/>
          <w:sz w:val="24"/>
          <w:lang w:val="bg-BG"/>
        </w:rPr>
      </w:pPr>
      <w:r>
        <w:rPr>
          <w:rFonts w:ascii="Times New Roman" w:hAnsi="Times New Roman" w:cs="Times New Roman"/>
          <w:sz w:val="24"/>
          <w:lang w:val="bg-BG"/>
        </w:rPr>
        <w:t>Една от н</w:t>
      </w:r>
      <w:r w:rsidR="00CD130B" w:rsidRPr="004008DE">
        <w:rPr>
          <w:rFonts w:ascii="Times New Roman" w:hAnsi="Times New Roman" w:cs="Times New Roman"/>
          <w:sz w:val="24"/>
          <w:lang w:val="bg-BG"/>
        </w:rPr>
        <w:t xml:space="preserve">ай-често използваните </w:t>
      </w:r>
      <w:r w:rsidR="00347B0E">
        <w:rPr>
          <w:rFonts w:ascii="Times New Roman" w:hAnsi="Times New Roman" w:cs="Times New Roman"/>
          <w:sz w:val="24"/>
          <w:lang w:val="bg-BG"/>
        </w:rPr>
        <w:t>скали</w:t>
      </w:r>
      <w:r w:rsidR="00CD130B" w:rsidRPr="004008DE">
        <w:rPr>
          <w:rFonts w:ascii="Times New Roman" w:hAnsi="Times New Roman" w:cs="Times New Roman"/>
          <w:sz w:val="24"/>
          <w:lang w:val="bg-BG"/>
        </w:rPr>
        <w:t xml:space="preserve"> за оценка на риска за </w:t>
      </w:r>
      <w:r w:rsidR="00347B0E">
        <w:rPr>
          <w:rFonts w:ascii="Times New Roman" w:hAnsi="Times New Roman" w:cs="Times New Roman"/>
          <w:sz w:val="24"/>
          <w:lang w:val="bg-BG"/>
        </w:rPr>
        <w:t>Д</w:t>
      </w:r>
      <w:r w:rsidR="00CD130B" w:rsidRPr="004008DE">
        <w:rPr>
          <w:rFonts w:ascii="Times New Roman" w:hAnsi="Times New Roman" w:cs="Times New Roman"/>
          <w:sz w:val="24"/>
          <w:lang w:val="bg-BG"/>
        </w:rPr>
        <w:t xml:space="preserve">ВТ </w:t>
      </w:r>
      <w:r>
        <w:rPr>
          <w:rFonts w:ascii="Times New Roman" w:hAnsi="Times New Roman" w:cs="Times New Roman"/>
          <w:sz w:val="24"/>
          <w:lang w:val="bg-BG"/>
        </w:rPr>
        <w:t xml:space="preserve">е </w:t>
      </w:r>
      <w:r w:rsidR="00CD130B" w:rsidRPr="004008DE">
        <w:rPr>
          <w:rFonts w:ascii="Times New Roman" w:hAnsi="Times New Roman" w:cs="Times New Roman"/>
          <w:sz w:val="24"/>
          <w:lang w:val="bg-BG"/>
        </w:rPr>
        <w:t>Padua Preiction Score (табл. 1)</w:t>
      </w:r>
      <w:r>
        <w:rPr>
          <w:rFonts w:ascii="Times New Roman" w:hAnsi="Times New Roman" w:cs="Times New Roman"/>
          <w:sz w:val="24"/>
          <w:lang w:val="bg-BG"/>
        </w:rPr>
        <w:t>.</w:t>
      </w:r>
    </w:p>
    <w:tbl>
      <w:tblPr>
        <w:tblStyle w:val="TableGrid"/>
        <w:tblW w:w="0" w:type="auto"/>
        <w:tblInd w:w="720" w:type="dxa"/>
        <w:tblLook w:val="04A0" w:firstRow="1" w:lastRow="0" w:firstColumn="1" w:lastColumn="0" w:noHBand="0" w:noVBand="1"/>
      </w:tblPr>
      <w:tblGrid>
        <w:gridCol w:w="4217"/>
        <w:gridCol w:w="4125"/>
      </w:tblGrid>
      <w:tr w:rsidR="00CD130B" w:rsidRPr="004008DE" w:rsidTr="006D79A5">
        <w:tc>
          <w:tcPr>
            <w:tcW w:w="8342" w:type="dxa"/>
            <w:gridSpan w:val="2"/>
            <w:shd w:val="clear" w:color="auto" w:fill="171717" w:themeFill="background2" w:themeFillShade="1A"/>
          </w:tcPr>
          <w:p w:rsidR="00CD130B" w:rsidRPr="004008DE" w:rsidRDefault="00CD130B" w:rsidP="00276280">
            <w:pPr>
              <w:jc w:val="center"/>
              <w:rPr>
                <w:rFonts w:ascii="Times New Roman" w:hAnsi="Times New Roman" w:cs="Times New Roman"/>
                <w:b/>
                <w:sz w:val="24"/>
                <w:lang w:val="bg-BG"/>
              </w:rPr>
            </w:pPr>
            <w:r w:rsidRPr="004008DE">
              <w:rPr>
                <w:rFonts w:ascii="Times New Roman" w:hAnsi="Times New Roman" w:cs="Times New Roman"/>
                <w:b/>
                <w:sz w:val="24"/>
                <w:lang w:val="bg-BG"/>
              </w:rPr>
              <w:t>Padua Prediction Score</w:t>
            </w:r>
          </w:p>
        </w:tc>
      </w:tr>
      <w:tr w:rsidR="00CD130B" w:rsidRPr="004008DE" w:rsidTr="006D79A5">
        <w:tc>
          <w:tcPr>
            <w:tcW w:w="4217" w:type="dxa"/>
            <w:shd w:val="clear" w:color="auto" w:fill="BDD6EE" w:themeFill="accent1" w:themeFillTint="66"/>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Рисков фактор</w:t>
            </w:r>
          </w:p>
        </w:tc>
        <w:tc>
          <w:tcPr>
            <w:tcW w:w="4125" w:type="dxa"/>
            <w:shd w:val="clear" w:color="auto" w:fill="BDD6EE" w:themeFill="accent1" w:themeFillTint="66"/>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Точки</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Активно злокачествено заболяване, химиотерапия или лъчетерапия през последните 6 месеца</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3</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Анамнеза за дълбока венозна тромбоза</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3</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Залежаване &gt; 3 дни</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3</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Тромбофилия (дефицит на антитромбин ІІІ, протеин C, S, мутации на фактор V и протромбин, антифосфолипиден синдром)</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3</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Скорошна травма или операция (&lt; 1 месец)</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2</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Възраст &gt; 70 години</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Сърдечна или дихателна недостатъчност</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CD130B" w:rsidRPr="004008DE" w:rsidTr="00CD130B">
        <w:tc>
          <w:tcPr>
            <w:tcW w:w="4217" w:type="dxa"/>
          </w:tcPr>
          <w:p w:rsidR="006D79A5"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Остър инфаркт на миокарда или инсулт</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Активна инфекция или ревматологично заболяване</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Затлъстяване (BMI&gt;30 kg/m</w:t>
            </w:r>
            <w:r w:rsidRPr="004008DE">
              <w:rPr>
                <w:rFonts w:ascii="Times New Roman" w:hAnsi="Times New Roman" w:cs="Times New Roman"/>
                <w:sz w:val="24"/>
                <w:vertAlign w:val="superscript"/>
                <w:lang w:val="bg-BG"/>
              </w:rPr>
              <w:t>2</w:t>
            </w:r>
            <w:r w:rsidRPr="004008DE">
              <w:rPr>
                <w:rFonts w:ascii="Times New Roman" w:hAnsi="Times New Roman" w:cs="Times New Roman"/>
                <w:sz w:val="24"/>
                <w:lang w:val="bg-BG"/>
              </w:rPr>
              <w:t>)</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CD130B" w:rsidRPr="004008DE" w:rsidTr="00CD130B">
        <w:tc>
          <w:tcPr>
            <w:tcW w:w="4217" w:type="dxa"/>
          </w:tcPr>
          <w:p w:rsidR="00CD130B" w:rsidRPr="004008DE" w:rsidRDefault="006D79A5" w:rsidP="00276280">
            <w:pPr>
              <w:rPr>
                <w:rFonts w:ascii="Times New Roman" w:hAnsi="Times New Roman" w:cs="Times New Roman"/>
                <w:sz w:val="24"/>
                <w:lang w:val="bg-BG"/>
              </w:rPr>
            </w:pPr>
            <w:r w:rsidRPr="004008DE">
              <w:rPr>
                <w:rFonts w:ascii="Times New Roman" w:hAnsi="Times New Roman" w:cs="Times New Roman"/>
                <w:sz w:val="24"/>
                <w:lang w:val="bg-BG"/>
              </w:rPr>
              <w:t>Хормонална терапия (хормонозаместителна терапия или перорални контрацептиви)</w:t>
            </w:r>
          </w:p>
        </w:tc>
        <w:tc>
          <w:tcPr>
            <w:tcW w:w="4125" w:type="dxa"/>
          </w:tcPr>
          <w:p w:rsidR="00CD130B" w:rsidRPr="004008DE" w:rsidRDefault="006D79A5" w:rsidP="00276280">
            <w:pPr>
              <w:jc w:val="center"/>
              <w:rPr>
                <w:rFonts w:ascii="Times New Roman" w:hAnsi="Times New Roman" w:cs="Times New Roman"/>
                <w:sz w:val="24"/>
                <w:lang w:val="bg-BG"/>
              </w:rPr>
            </w:pPr>
            <w:r w:rsidRPr="004008DE">
              <w:rPr>
                <w:rFonts w:ascii="Times New Roman" w:hAnsi="Times New Roman" w:cs="Times New Roman"/>
                <w:sz w:val="24"/>
                <w:lang w:val="bg-BG"/>
              </w:rPr>
              <w:t>1</w:t>
            </w:r>
          </w:p>
        </w:tc>
      </w:tr>
      <w:tr w:rsidR="006D79A5" w:rsidRPr="004008DE" w:rsidTr="006D79A5">
        <w:tc>
          <w:tcPr>
            <w:tcW w:w="8342" w:type="dxa"/>
            <w:gridSpan w:val="2"/>
            <w:shd w:val="clear" w:color="auto" w:fill="BDD6EE" w:themeFill="accent1" w:themeFillTint="66"/>
          </w:tcPr>
          <w:p w:rsidR="006D79A5" w:rsidRPr="00347B0E" w:rsidRDefault="006D79A5" w:rsidP="00276280">
            <w:pPr>
              <w:jc w:val="center"/>
              <w:rPr>
                <w:rFonts w:ascii="Times New Roman" w:hAnsi="Times New Roman" w:cs="Times New Roman"/>
                <w:color w:val="FF0000"/>
                <w:sz w:val="24"/>
                <w:lang w:val="bg-BG"/>
              </w:rPr>
            </w:pPr>
            <w:r w:rsidRPr="00347B0E">
              <w:rPr>
                <w:rFonts w:ascii="Times New Roman" w:hAnsi="Times New Roman" w:cs="Times New Roman"/>
                <w:color w:val="FF0000"/>
                <w:sz w:val="24"/>
                <w:lang w:val="bg-BG"/>
              </w:rPr>
              <w:t>Висок риск при 4 или повече точки</w:t>
            </w:r>
          </w:p>
        </w:tc>
      </w:tr>
    </w:tbl>
    <w:p w:rsidR="00EB7D51" w:rsidRDefault="006D79A5" w:rsidP="00276280">
      <w:pPr>
        <w:spacing w:line="240" w:lineRule="auto"/>
        <w:ind w:firstLine="720"/>
        <w:rPr>
          <w:rFonts w:ascii="Times New Roman" w:hAnsi="Times New Roman" w:cs="Times New Roman"/>
          <w:sz w:val="24"/>
          <w:lang w:val="bg-BG"/>
        </w:rPr>
      </w:pPr>
      <w:r w:rsidRPr="004008DE">
        <w:rPr>
          <w:rFonts w:ascii="Times New Roman" w:hAnsi="Times New Roman" w:cs="Times New Roman"/>
          <w:sz w:val="24"/>
          <w:lang w:val="bg-BG"/>
        </w:rPr>
        <w:t>Табл. 1 Padua Prediction Score</w:t>
      </w:r>
    </w:p>
    <w:p w:rsidR="006772CF" w:rsidRDefault="006772CF" w:rsidP="00276280">
      <w:pPr>
        <w:spacing w:line="240" w:lineRule="auto"/>
        <w:ind w:firstLine="720"/>
        <w:rPr>
          <w:rFonts w:ascii="Times New Roman" w:hAnsi="Times New Roman" w:cs="Times New Roman"/>
          <w:sz w:val="24"/>
          <w:lang w:val="bg-BG"/>
        </w:rPr>
      </w:pPr>
      <w:r>
        <w:rPr>
          <w:rFonts w:ascii="Times New Roman" w:hAnsi="Times New Roman" w:cs="Times New Roman"/>
          <w:sz w:val="24"/>
          <w:lang w:val="en-US"/>
        </w:rPr>
        <w:t>PPS</w:t>
      </w:r>
      <w:r>
        <w:rPr>
          <w:rFonts w:ascii="Times New Roman" w:hAnsi="Times New Roman" w:cs="Times New Roman"/>
          <w:sz w:val="24"/>
          <w:lang w:val="bg-BG"/>
        </w:rPr>
        <w:t xml:space="preserve"> е разработ</w:t>
      </w:r>
      <w:r w:rsidR="001330C9">
        <w:rPr>
          <w:rFonts w:ascii="Times New Roman" w:hAnsi="Times New Roman" w:cs="Times New Roman"/>
          <w:sz w:val="24"/>
          <w:lang w:val="bg-BG"/>
        </w:rPr>
        <w:t>е</w:t>
      </w:r>
      <w:r>
        <w:rPr>
          <w:rFonts w:ascii="Times New Roman" w:hAnsi="Times New Roman" w:cs="Times New Roman"/>
          <w:sz w:val="24"/>
          <w:lang w:val="bg-BG"/>
        </w:rPr>
        <w:t>н за оценка на риска за настъпване на венозна тромбоемболия при хоспитализирани пациенти въз основа на проследяване на 1180 пациента в продължение на 90 дни след хоспитализация. Честотата на ВТЕ в проучването е:</w:t>
      </w:r>
    </w:p>
    <w:p w:rsidR="006772CF" w:rsidRDefault="006772CF" w:rsidP="00276280">
      <w:pPr>
        <w:pStyle w:val="ListParagraph"/>
        <w:numPr>
          <w:ilvl w:val="0"/>
          <w:numId w:val="24"/>
        </w:numPr>
        <w:spacing w:line="240" w:lineRule="auto"/>
        <w:ind w:left="0" w:firstLine="0"/>
        <w:rPr>
          <w:rFonts w:ascii="Times New Roman" w:hAnsi="Times New Roman" w:cs="Times New Roman"/>
          <w:sz w:val="24"/>
          <w:lang w:val="bg-BG"/>
        </w:rPr>
      </w:pPr>
      <w:r>
        <w:rPr>
          <w:rFonts w:ascii="Times New Roman" w:hAnsi="Times New Roman" w:cs="Times New Roman"/>
          <w:sz w:val="24"/>
          <w:lang w:val="bg-BG"/>
        </w:rPr>
        <w:t xml:space="preserve">Нискорискови пациенти </w:t>
      </w:r>
      <w:r>
        <w:rPr>
          <w:rFonts w:ascii="Times New Roman" w:hAnsi="Times New Roman" w:cs="Times New Roman"/>
          <w:sz w:val="24"/>
          <w:lang w:val="en-US"/>
        </w:rPr>
        <w:t>(</w:t>
      </w:r>
      <w:r w:rsidR="0037171D">
        <w:rPr>
          <w:rFonts w:ascii="Times New Roman" w:hAnsi="Times New Roman" w:cs="Times New Roman"/>
          <w:sz w:val="24"/>
          <w:lang w:val="en-US"/>
        </w:rPr>
        <w:t>&lt;</w:t>
      </w:r>
      <w:r>
        <w:rPr>
          <w:rFonts w:ascii="Times New Roman" w:hAnsi="Times New Roman" w:cs="Times New Roman"/>
          <w:sz w:val="24"/>
          <w:lang w:val="bg-BG"/>
        </w:rPr>
        <w:t>4 т.</w:t>
      </w:r>
      <w:r>
        <w:rPr>
          <w:rFonts w:ascii="Times New Roman" w:hAnsi="Times New Roman" w:cs="Times New Roman"/>
          <w:sz w:val="24"/>
          <w:lang w:val="en-US"/>
        </w:rPr>
        <w:t>)</w:t>
      </w:r>
      <w:r w:rsidR="0037171D">
        <w:rPr>
          <w:rFonts w:ascii="Times New Roman" w:hAnsi="Times New Roman" w:cs="Times New Roman"/>
          <w:sz w:val="24"/>
          <w:lang w:val="bg-BG"/>
        </w:rPr>
        <w:t>: 0,3%</w:t>
      </w:r>
    </w:p>
    <w:p w:rsidR="0037171D" w:rsidRPr="006772CF" w:rsidRDefault="0037171D" w:rsidP="00276280">
      <w:pPr>
        <w:pStyle w:val="ListParagraph"/>
        <w:numPr>
          <w:ilvl w:val="0"/>
          <w:numId w:val="24"/>
        </w:numPr>
        <w:spacing w:line="240" w:lineRule="auto"/>
        <w:ind w:left="0" w:firstLine="0"/>
        <w:rPr>
          <w:rFonts w:ascii="Times New Roman" w:hAnsi="Times New Roman" w:cs="Times New Roman"/>
          <w:sz w:val="24"/>
          <w:lang w:val="bg-BG"/>
        </w:rPr>
      </w:pPr>
      <w:r>
        <w:rPr>
          <w:rFonts w:ascii="Times New Roman" w:hAnsi="Times New Roman" w:cs="Times New Roman"/>
          <w:sz w:val="24"/>
          <w:lang w:val="bg-BG"/>
        </w:rPr>
        <w:t xml:space="preserve">Високорискови пациенти </w:t>
      </w:r>
      <w:r>
        <w:rPr>
          <w:rFonts w:ascii="Times New Roman" w:hAnsi="Times New Roman" w:cs="Times New Roman"/>
          <w:sz w:val="24"/>
          <w:lang w:val="en-US"/>
        </w:rPr>
        <w:t>(</w:t>
      </w:r>
      <w:r>
        <w:rPr>
          <w:rFonts w:ascii="Times New Roman" w:hAnsi="Times New Roman" w:cs="Times New Roman"/>
          <w:sz w:val="24"/>
          <w:lang w:val="bg-BG"/>
        </w:rPr>
        <w:t>≥ 4 т.</w:t>
      </w:r>
      <w:r>
        <w:rPr>
          <w:rFonts w:ascii="Times New Roman" w:hAnsi="Times New Roman" w:cs="Times New Roman"/>
          <w:sz w:val="24"/>
          <w:lang w:val="en-US"/>
        </w:rPr>
        <w:t>)</w:t>
      </w:r>
      <w:r>
        <w:rPr>
          <w:rFonts w:ascii="Times New Roman" w:hAnsi="Times New Roman" w:cs="Times New Roman"/>
          <w:sz w:val="24"/>
          <w:lang w:val="bg-BG"/>
        </w:rPr>
        <w:t>: 2,2% при получавалите профилактика по време на болничния п</w:t>
      </w:r>
      <w:r w:rsidR="001330C9">
        <w:rPr>
          <w:rFonts w:ascii="Times New Roman" w:hAnsi="Times New Roman" w:cs="Times New Roman"/>
          <w:sz w:val="24"/>
          <w:lang w:val="bg-BG"/>
        </w:rPr>
        <w:t>р</w:t>
      </w:r>
      <w:r>
        <w:rPr>
          <w:rFonts w:ascii="Times New Roman" w:hAnsi="Times New Roman" w:cs="Times New Roman"/>
          <w:sz w:val="24"/>
          <w:lang w:val="bg-BG"/>
        </w:rPr>
        <w:t>естой и 11% при неполучавалите профилактика по време на болничния престой</w:t>
      </w:r>
      <w:r w:rsidR="001330C9">
        <w:rPr>
          <w:rFonts w:ascii="Times New Roman" w:hAnsi="Times New Roman" w:cs="Times New Roman"/>
          <w:sz w:val="24"/>
          <w:lang w:val="bg-BG"/>
        </w:rPr>
        <w:t>.</w:t>
      </w:r>
      <w:r w:rsidR="001330C9" w:rsidRPr="001330C9">
        <w:rPr>
          <w:rFonts w:ascii="Times New Roman" w:hAnsi="Times New Roman" w:cs="Times New Roman"/>
          <w:sz w:val="24"/>
          <w:vertAlign w:val="superscript"/>
          <w:lang w:val="bg-BG"/>
        </w:rPr>
        <w:t>138</w:t>
      </w:r>
    </w:p>
    <w:p w:rsidR="006772CF" w:rsidRPr="004008DE" w:rsidRDefault="006772CF" w:rsidP="00276280">
      <w:pPr>
        <w:spacing w:line="240" w:lineRule="auto"/>
        <w:rPr>
          <w:rFonts w:ascii="Times New Roman" w:hAnsi="Times New Roman" w:cs="Times New Roman"/>
          <w:sz w:val="24"/>
          <w:lang w:val="bg-BG"/>
        </w:rPr>
      </w:pPr>
    </w:p>
    <w:p w:rsidR="008A665D" w:rsidRPr="004008DE" w:rsidRDefault="008A665D" w:rsidP="00276280">
      <w:pPr>
        <w:rPr>
          <w:rFonts w:ascii="Times New Roman" w:hAnsi="Times New Roman" w:cs="Times New Roman"/>
          <w:sz w:val="24"/>
          <w:lang w:val="bg-BG"/>
        </w:rPr>
      </w:pPr>
      <w:r w:rsidRPr="004008DE">
        <w:rPr>
          <w:rFonts w:ascii="Times New Roman" w:hAnsi="Times New Roman" w:cs="Times New Roman"/>
          <w:sz w:val="24"/>
          <w:lang w:val="bg-BG"/>
        </w:rPr>
        <w:br w:type="page"/>
      </w:r>
    </w:p>
    <w:p w:rsidR="00E924B6" w:rsidRPr="00DA0BF0" w:rsidRDefault="00DA0BF0" w:rsidP="00276280">
      <w:pPr>
        <w:spacing w:line="240" w:lineRule="auto"/>
        <w:ind w:firstLine="720"/>
        <w:rPr>
          <w:rFonts w:ascii="Times New Roman" w:hAnsi="Times New Roman" w:cs="Times New Roman"/>
          <w:b/>
          <w:sz w:val="24"/>
          <w:u w:val="single"/>
          <w:lang w:val="bg-BG"/>
        </w:rPr>
      </w:pPr>
      <w:r>
        <w:rPr>
          <w:rFonts w:ascii="Times New Roman" w:hAnsi="Times New Roman" w:cs="Times New Roman"/>
          <w:b/>
          <w:sz w:val="24"/>
          <w:u w:val="single"/>
          <w:lang w:val="bg-BG"/>
        </w:rPr>
        <w:lastRenderedPageBreak/>
        <w:t xml:space="preserve">3. </w:t>
      </w:r>
      <w:r w:rsidR="00217854" w:rsidRPr="00DA0BF0">
        <w:rPr>
          <w:rFonts w:ascii="Times New Roman" w:hAnsi="Times New Roman" w:cs="Times New Roman"/>
          <w:b/>
          <w:sz w:val="24"/>
          <w:u w:val="single"/>
          <w:lang w:val="bg-BG"/>
        </w:rPr>
        <w:t>Средства за профилактика</w:t>
      </w:r>
      <w:r w:rsidR="00F14951" w:rsidRPr="00DA0BF0">
        <w:rPr>
          <w:rFonts w:ascii="Times New Roman" w:hAnsi="Times New Roman" w:cs="Times New Roman"/>
          <w:b/>
          <w:sz w:val="24"/>
          <w:u w:val="single"/>
          <w:lang w:val="bg-BG"/>
        </w:rPr>
        <w:br/>
      </w:r>
    </w:p>
    <w:p w:rsidR="00E924B6" w:rsidRPr="00DA0BF0" w:rsidRDefault="00DA0BF0" w:rsidP="00276280">
      <w:pPr>
        <w:spacing w:line="240" w:lineRule="auto"/>
        <w:ind w:firstLine="720"/>
        <w:rPr>
          <w:rFonts w:ascii="Times New Roman" w:hAnsi="Times New Roman" w:cs="Times New Roman"/>
          <w:sz w:val="24"/>
          <w:u w:val="single"/>
          <w:lang w:val="bg-BG"/>
        </w:rPr>
      </w:pPr>
      <w:r>
        <w:rPr>
          <w:rFonts w:ascii="Times New Roman" w:hAnsi="Times New Roman" w:cs="Times New Roman"/>
          <w:sz w:val="24"/>
          <w:u w:val="single"/>
          <w:lang w:val="bg-BG"/>
        </w:rPr>
        <w:t xml:space="preserve">3.1. </w:t>
      </w:r>
      <w:r w:rsidR="00F14951" w:rsidRPr="00DA0BF0">
        <w:rPr>
          <w:rFonts w:ascii="Times New Roman" w:hAnsi="Times New Roman" w:cs="Times New Roman"/>
          <w:sz w:val="24"/>
          <w:u w:val="single"/>
          <w:lang w:val="bg-BG"/>
        </w:rPr>
        <w:t>Механична профилактика</w:t>
      </w:r>
    </w:p>
    <w:p w:rsidR="00F14951" w:rsidRPr="004008DE" w:rsidRDefault="00F14951" w:rsidP="00276280">
      <w:pPr>
        <w:spacing w:after="0" w:line="240" w:lineRule="auto"/>
        <w:ind w:firstLine="720"/>
        <w:rPr>
          <w:rFonts w:ascii="Times New Roman" w:hAnsi="Times New Roman" w:cs="Times New Roman"/>
          <w:sz w:val="24"/>
          <w:vertAlign w:val="superscript"/>
          <w:lang w:val="bg-BG"/>
        </w:rPr>
      </w:pPr>
      <w:r w:rsidRPr="004008DE">
        <w:rPr>
          <w:rFonts w:ascii="Times New Roman" w:hAnsi="Times New Roman" w:cs="Times New Roman"/>
          <w:sz w:val="24"/>
          <w:lang w:val="bg-BG"/>
        </w:rPr>
        <w:t xml:space="preserve">Механичната профилактика включва мобилизация, компресивни чорапи с градирана компресия,  интермитентна пневматична компресия </w:t>
      </w:r>
      <w:r w:rsidR="003B7C9C" w:rsidRPr="004008DE">
        <w:rPr>
          <w:rFonts w:ascii="Times New Roman" w:hAnsi="Times New Roman" w:cs="Times New Roman"/>
          <w:sz w:val="24"/>
          <w:lang w:val="bg-BG"/>
        </w:rPr>
        <w:t>и венозна ходилна помпа.</w:t>
      </w:r>
      <w:r w:rsidR="003B7C9C" w:rsidRPr="004008DE">
        <w:rPr>
          <w:rFonts w:ascii="Times New Roman" w:hAnsi="Times New Roman" w:cs="Times New Roman"/>
          <w:sz w:val="24"/>
          <w:vertAlign w:val="superscript"/>
          <w:lang w:val="bg-BG"/>
        </w:rPr>
        <w:t>36, 37</w:t>
      </w:r>
      <w:r w:rsidR="003B7C9C" w:rsidRPr="004008DE">
        <w:rPr>
          <w:rFonts w:ascii="Times New Roman" w:hAnsi="Times New Roman" w:cs="Times New Roman"/>
          <w:sz w:val="24"/>
          <w:lang w:val="bg-BG"/>
        </w:rPr>
        <w:t xml:space="preserve"> Предимствата на механичната профилактика включват липсата на </w:t>
      </w:r>
      <w:r w:rsidR="003B7C9C" w:rsidRPr="00347B0E">
        <w:rPr>
          <w:rFonts w:ascii="Times New Roman" w:hAnsi="Times New Roman" w:cs="Times New Roman"/>
          <w:b/>
          <w:i/>
          <w:sz w:val="24"/>
          <w:lang w:val="bg-BG"/>
        </w:rPr>
        <w:t>хеморагични усложнения</w:t>
      </w:r>
      <w:r w:rsidR="003B7C9C" w:rsidRPr="004008DE">
        <w:rPr>
          <w:rFonts w:ascii="Times New Roman" w:hAnsi="Times New Roman" w:cs="Times New Roman"/>
          <w:sz w:val="24"/>
          <w:lang w:val="bg-BG"/>
        </w:rPr>
        <w:t>, липсата на необходимост от лабораторен контрол и липсата на клинично значими нежелани реакции.</w:t>
      </w:r>
      <w:r w:rsidR="003B7C9C" w:rsidRPr="004008DE">
        <w:rPr>
          <w:rFonts w:ascii="Times New Roman" w:hAnsi="Times New Roman" w:cs="Times New Roman"/>
          <w:sz w:val="24"/>
          <w:vertAlign w:val="superscript"/>
          <w:lang w:val="bg-BG"/>
        </w:rPr>
        <w:t>38</w:t>
      </w:r>
      <w:r w:rsidR="00B63880" w:rsidRPr="004008DE">
        <w:rPr>
          <w:rFonts w:ascii="Times New Roman" w:hAnsi="Times New Roman" w:cs="Times New Roman"/>
          <w:sz w:val="24"/>
          <w:lang w:val="bg-BG"/>
        </w:rPr>
        <w:t xml:space="preserve"> Недостатък е липсата </w:t>
      </w:r>
      <w:r w:rsidR="00B63880" w:rsidRPr="00347B0E">
        <w:rPr>
          <w:rFonts w:ascii="Times New Roman" w:hAnsi="Times New Roman" w:cs="Times New Roman"/>
          <w:b/>
          <w:i/>
          <w:sz w:val="24"/>
          <w:lang w:val="bg-BG"/>
        </w:rPr>
        <w:t>на убедителни данни</w:t>
      </w:r>
      <w:r w:rsidR="00B63880" w:rsidRPr="004008DE">
        <w:rPr>
          <w:rFonts w:ascii="Times New Roman" w:hAnsi="Times New Roman" w:cs="Times New Roman"/>
          <w:sz w:val="24"/>
          <w:lang w:val="bg-BG"/>
        </w:rPr>
        <w:t>, че механичната профилактика намалява риска за БТЕ.</w:t>
      </w:r>
      <w:r w:rsidR="00B63880" w:rsidRPr="004008DE">
        <w:rPr>
          <w:rFonts w:ascii="Times New Roman" w:hAnsi="Times New Roman" w:cs="Times New Roman"/>
          <w:sz w:val="24"/>
          <w:vertAlign w:val="superscript"/>
          <w:lang w:val="bg-BG"/>
        </w:rPr>
        <w:t>39</w:t>
      </w:r>
    </w:p>
    <w:p w:rsidR="00D20E17" w:rsidRPr="004008DE" w:rsidRDefault="00D20E17" w:rsidP="00276280">
      <w:pPr>
        <w:spacing w:after="0" w:line="240" w:lineRule="auto"/>
        <w:rPr>
          <w:rFonts w:ascii="Times New Roman" w:hAnsi="Times New Roman" w:cs="Times New Roman"/>
          <w:sz w:val="24"/>
          <w:vertAlign w:val="superscript"/>
          <w:lang w:val="bg-BG"/>
        </w:rPr>
      </w:pPr>
      <w:r w:rsidRPr="004008DE">
        <w:rPr>
          <w:rFonts w:ascii="Times New Roman" w:hAnsi="Times New Roman" w:cs="Times New Roman"/>
          <w:sz w:val="24"/>
          <w:lang w:val="bg-BG"/>
        </w:rPr>
        <w:t xml:space="preserve">Раздвижването чрез ранно натоварване е най-простият метод за профилактика и е свързано с понижена честота на </w:t>
      </w:r>
      <w:r w:rsidR="00347B0E">
        <w:rPr>
          <w:rFonts w:ascii="Times New Roman" w:hAnsi="Times New Roman" w:cs="Times New Roman"/>
          <w:sz w:val="24"/>
          <w:lang w:val="bg-BG"/>
        </w:rPr>
        <w:t>ВТЕ</w:t>
      </w:r>
      <w:r w:rsidRPr="004008DE">
        <w:rPr>
          <w:rFonts w:ascii="Times New Roman" w:hAnsi="Times New Roman" w:cs="Times New Roman"/>
          <w:sz w:val="24"/>
          <w:lang w:val="bg-BG"/>
        </w:rPr>
        <w:t xml:space="preserve"> при пациентите след тазобедрено ендопротезиране, а в комбинация с кинезитерапия е свързано със съкращаване на болничния престой, н</w:t>
      </w:r>
      <w:r w:rsidR="00347B0E">
        <w:rPr>
          <w:rFonts w:ascii="Times New Roman" w:hAnsi="Times New Roman" w:cs="Times New Roman"/>
          <w:sz w:val="24"/>
          <w:lang w:val="bg-BG"/>
        </w:rPr>
        <w:t>амаляване на усложненията и 6-ме</w:t>
      </w:r>
      <w:r w:rsidRPr="004008DE">
        <w:rPr>
          <w:rFonts w:ascii="Times New Roman" w:hAnsi="Times New Roman" w:cs="Times New Roman"/>
          <w:sz w:val="24"/>
          <w:lang w:val="bg-BG"/>
        </w:rPr>
        <w:t>сечната смъртност.</w:t>
      </w:r>
      <w:r w:rsidRPr="004008DE">
        <w:rPr>
          <w:rFonts w:ascii="Times New Roman" w:hAnsi="Times New Roman" w:cs="Times New Roman"/>
          <w:sz w:val="24"/>
          <w:vertAlign w:val="superscript"/>
          <w:lang w:val="bg-BG"/>
        </w:rPr>
        <w:t>40</w:t>
      </w:r>
      <w:r w:rsidR="00AB5C4D" w:rsidRPr="004008DE">
        <w:rPr>
          <w:rFonts w:ascii="Times New Roman" w:hAnsi="Times New Roman" w:cs="Times New Roman"/>
          <w:sz w:val="24"/>
          <w:vertAlign w:val="superscript"/>
          <w:lang w:val="bg-BG"/>
        </w:rPr>
        <w:br/>
      </w:r>
      <w:r w:rsidR="00AB5C4D" w:rsidRPr="004008DE">
        <w:rPr>
          <w:rFonts w:ascii="Times New Roman" w:hAnsi="Times New Roman" w:cs="Times New Roman"/>
          <w:sz w:val="24"/>
          <w:lang w:val="bg-BG"/>
        </w:rPr>
        <w:tab/>
        <w:t>Въпреки това, голям процент от случаи</w:t>
      </w:r>
      <w:r w:rsidR="00A006BB">
        <w:rPr>
          <w:rFonts w:ascii="Times New Roman" w:hAnsi="Times New Roman" w:cs="Times New Roman"/>
          <w:sz w:val="24"/>
          <w:lang w:val="bg-BG"/>
        </w:rPr>
        <w:t>те</w:t>
      </w:r>
      <w:r w:rsidR="00AB5C4D" w:rsidRPr="004008DE">
        <w:rPr>
          <w:rFonts w:ascii="Times New Roman" w:hAnsi="Times New Roman" w:cs="Times New Roman"/>
          <w:sz w:val="24"/>
          <w:lang w:val="bg-BG"/>
        </w:rPr>
        <w:t xml:space="preserve"> на ВТЕ при хоспитализирани пациенти настъпват след като пациентите са раздвижени и сле</w:t>
      </w:r>
      <w:r w:rsidR="00347B0E">
        <w:rPr>
          <w:rFonts w:ascii="Times New Roman" w:hAnsi="Times New Roman" w:cs="Times New Roman"/>
          <w:sz w:val="24"/>
          <w:lang w:val="bg-BG"/>
        </w:rPr>
        <w:t>дователно само мобилизирането не</w:t>
      </w:r>
      <w:r w:rsidR="00AB5C4D" w:rsidRPr="004008DE">
        <w:rPr>
          <w:rFonts w:ascii="Times New Roman" w:hAnsi="Times New Roman" w:cs="Times New Roman"/>
          <w:sz w:val="24"/>
          <w:lang w:val="bg-BG"/>
        </w:rPr>
        <w:t xml:space="preserve"> осигурява достатъчна профилактика на ВТЕ. </w:t>
      </w:r>
      <w:r w:rsidR="00AB5C4D" w:rsidRPr="004008DE">
        <w:rPr>
          <w:rFonts w:ascii="Times New Roman" w:hAnsi="Times New Roman" w:cs="Times New Roman"/>
          <w:sz w:val="24"/>
          <w:vertAlign w:val="superscript"/>
          <w:lang w:val="bg-BG"/>
        </w:rPr>
        <w:t>41</w:t>
      </w:r>
      <w:r w:rsidR="00AB5C4D" w:rsidRPr="004008DE">
        <w:rPr>
          <w:rFonts w:ascii="Times New Roman" w:hAnsi="Times New Roman" w:cs="Times New Roman"/>
          <w:sz w:val="24"/>
          <w:vertAlign w:val="superscript"/>
          <w:lang w:val="bg-BG"/>
        </w:rPr>
        <w:br/>
      </w:r>
      <w:r w:rsidR="00AB5C4D" w:rsidRPr="004008DE">
        <w:rPr>
          <w:rFonts w:ascii="Times New Roman" w:hAnsi="Times New Roman" w:cs="Times New Roman"/>
          <w:sz w:val="24"/>
          <w:lang w:val="bg-BG"/>
        </w:rPr>
        <w:tab/>
        <w:t xml:space="preserve">В последните препоръки на ACCP (American College of Chest Physicians, 2012 г.), при пациентите с висок риск за ВТЕ механичните методи се насърчават </w:t>
      </w:r>
      <w:r w:rsidR="00AB5C4D" w:rsidRPr="00347B0E">
        <w:rPr>
          <w:rFonts w:ascii="Times New Roman" w:hAnsi="Times New Roman" w:cs="Times New Roman"/>
          <w:b/>
          <w:i/>
          <w:sz w:val="24"/>
          <w:lang w:val="bg-BG"/>
        </w:rPr>
        <w:t>като допълнение към фармакологичната профилактика</w:t>
      </w:r>
      <w:r w:rsidR="00AB5C4D" w:rsidRPr="004008DE">
        <w:rPr>
          <w:rFonts w:ascii="Times New Roman" w:hAnsi="Times New Roman" w:cs="Times New Roman"/>
          <w:sz w:val="24"/>
          <w:lang w:val="bg-BG"/>
        </w:rPr>
        <w:t xml:space="preserve"> </w:t>
      </w:r>
      <w:r w:rsidR="00270BDA" w:rsidRPr="004008DE">
        <w:rPr>
          <w:rFonts w:ascii="Times New Roman" w:hAnsi="Times New Roman" w:cs="Times New Roman"/>
          <w:sz w:val="24"/>
          <w:lang w:val="bg-BG"/>
        </w:rPr>
        <w:t xml:space="preserve">след големи ортопедични операции. В частност след колянно и тазобедрено ендопротезиране се препоръчва употребата на интермитентна пневматична компресия. </w:t>
      </w:r>
      <w:r w:rsidR="00270BDA" w:rsidRPr="004008DE">
        <w:rPr>
          <w:rFonts w:ascii="Times New Roman" w:hAnsi="Times New Roman" w:cs="Times New Roman"/>
          <w:sz w:val="24"/>
          <w:vertAlign w:val="superscript"/>
          <w:lang w:val="bg-BG"/>
        </w:rPr>
        <w:t>42</w:t>
      </w:r>
    </w:p>
    <w:p w:rsidR="00326B96" w:rsidRPr="004008DE" w:rsidRDefault="00326B96" w:rsidP="00276280">
      <w:pPr>
        <w:spacing w:after="0" w:line="240" w:lineRule="auto"/>
        <w:rPr>
          <w:rFonts w:ascii="Times New Roman" w:hAnsi="Times New Roman" w:cs="Times New Roman"/>
          <w:sz w:val="24"/>
          <w:lang w:val="bg-BG"/>
        </w:rPr>
      </w:pPr>
    </w:p>
    <w:p w:rsidR="00270BDA" w:rsidRPr="00DA0BF0" w:rsidRDefault="00DA0BF0" w:rsidP="00276280">
      <w:pPr>
        <w:spacing w:line="240" w:lineRule="auto"/>
        <w:ind w:firstLine="720"/>
        <w:rPr>
          <w:rFonts w:ascii="Times New Roman" w:hAnsi="Times New Roman" w:cs="Times New Roman"/>
          <w:sz w:val="24"/>
          <w:u w:val="single"/>
          <w:lang w:val="bg-BG"/>
        </w:rPr>
      </w:pPr>
      <w:r>
        <w:rPr>
          <w:rFonts w:ascii="Times New Roman" w:hAnsi="Times New Roman" w:cs="Times New Roman"/>
          <w:sz w:val="24"/>
          <w:u w:val="single"/>
          <w:lang w:val="bg-BG"/>
        </w:rPr>
        <w:t xml:space="preserve">3.2. </w:t>
      </w:r>
      <w:r w:rsidR="00270BDA" w:rsidRPr="00DA0BF0">
        <w:rPr>
          <w:rFonts w:ascii="Times New Roman" w:hAnsi="Times New Roman" w:cs="Times New Roman"/>
          <w:sz w:val="24"/>
          <w:u w:val="single"/>
          <w:lang w:val="bg-BG"/>
        </w:rPr>
        <w:t>Фармакологична профилактика</w:t>
      </w:r>
    </w:p>
    <w:p w:rsidR="004C3FC6" w:rsidRPr="00DA0BF0" w:rsidRDefault="004C3FC6" w:rsidP="00276280">
      <w:pPr>
        <w:spacing w:line="240" w:lineRule="auto"/>
        <w:ind w:firstLine="720"/>
        <w:rPr>
          <w:rFonts w:ascii="Times New Roman" w:hAnsi="Times New Roman" w:cs="Times New Roman"/>
          <w:sz w:val="24"/>
          <w:u w:val="single"/>
          <w:lang w:val="bg-BG"/>
        </w:rPr>
      </w:pPr>
      <w:r w:rsidRPr="00DA0BF0">
        <w:rPr>
          <w:rFonts w:ascii="Times New Roman" w:hAnsi="Times New Roman" w:cs="Times New Roman"/>
          <w:sz w:val="24"/>
          <w:u w:val="single"/>
          <w:lang w:val="bg-BG"/>
        </w:rPr>
        <w:t>Ацетилсалицилова киселина (аспирин)</w:t>
      </w:r>
    </w:p>
    <w:p w:rsidR="004C3FC6" w:rsidRPr="004008DE" w:rsidRDefault="004C3FC6"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t xml:space="preserve">Наличните данни и съответно препоръките за употреба на </w:t>
      </w:r>
      <w:r w:rsidR="001330C9">
        <w:rPr>
          <w:rFonts w:ascii="Times New Roman" w:hAnsi="Times New Roman" w:cs="Times New Roman"/>
          <w:sz w:val="24"/>
          <w:lang w:val="bg-BG"/>
        </w:rPr>
        <w:t>ацетилсалицилова киселина</w:t>
      </w:r>
      <w:r w:rsidRPr="004008DE">
        <w:rPr>
          <w:rFonts w:ascii="Times New Roman" w:hAnsi="Times New Roman" w:cs="Times New Roman"/>
          <w:sz w:val="24"/>
          <w:lang w:val="bg-BG"/>
        </w:rPr>
        <w:t xml:space="preserve"> като профилактика в ортопедичната хирургия са противоречиви. В консенсуса си от 2008 г. ACCP препоръчва да не се използва в нито една група пациенти,</w:t>
      </w:r>
      <w:r w:rsidRPr="004008DE">
        <w:rPr>
          <w:rFonts w:ascii="Times New Roman" w:hAnsi="Times New Roman" w:cs="Times New Roman"/>
          <w:sz w:val="24"/>
          <w:vertAlign w:val="superscript"/>
          <w:lang w:val="bg-BG"/>
        </w:rPr>
        <w:t>4</w:t>
      </w:r>
      <w:r w:rsidR="002C0126" w:rsidRPr="004008DE">
        <w:rPr>
          <w:rFonts w:ascii="Times New Roman" w:hAnsi="Times New Roman" w:cs="Times New Roman"/>
          <w:sz w:val="24"/>
          <w:vertAlign w:val="superscript"/>
          <w:lang w:val="bg-BG"/>
        </w:rPr>
        <w:t>2</w:t>
      </w:r>
      <w:r w:rsidRPr="004008DE">
        <w:rPr>
          <w:rFonts w:ascii="Times New Roman" w:hAnsi="Times New Roman" w:cs="Times New Roman"/>
          <w:sz w:val="24"/>
          <w:lang w:val="bg-BG"/>
        </w:rPr>
        <w:t xml:space="preserve"> но през 2012 отново ACCP препоръчва употребата му при пациенти след колянно и тезобедрено ендопротезиране, както и при такива с фрактури на проксималното бедро поради наличните данни, че превъзхожда плацебо.</w:t>
      </w:r>
      <w:r w:rsidRPr="004008DE">
        <w:rPr>
          <w:rFonts w:ascii="Times New Roman" w:hAnsi="Times New Roman" w:cs="Times New Roman"/>
          <w:sz w:val="24"/>
          <w:vertAlign w:val="superscript"/>
          <w:lang w:val="bg-BG"/>
        </w:rPr>
        <w:t xml:space="preserve">42 </w:t>
      </w:r>
      <w:r w:rsidRPr="004008DE">
        <w:rPr>
          <w:rFonts w:ascii="Times New Roman" w:hAnsi="Times New Roman" w:cs="Times New Roman"/>
          <w:sz w:val="24"/>
          <w:lang w:val="bg-BG"/>
        </w:rPr>
        <w:t xml:space="preserve">Все пак, </w:t>
      </w:r>
      <w:r w:rsidR="00E85F6A" w:rsidRPr="004008DE">
        <w:rPr>
          <w:rFonts w:ascii="Times New Roman" w:hAnsi="Times New Roman" w:cs="Times New Roman"/>
          <w:sz w:val="24"/>
          <w:lang w:val="bg-BG"/>
        </w:rPr>
        <w:t xml:space="preserve">в </w:t>
      </w:r>
      <w:r w:rsidRPr="004008DE">
        <w:rPr>
          <w:rFonts w:ascii="Times New Roman" w:hAnsi="Times New Roman" w:cs="Times New Roman"/>
          <w:sz w:val="24"/>
          <w:lang w:val="bg-BG"/>
        </w:rPr>
        <w:t xml:space="preserve">същия консенсус </w:t>
      </w:r>
      <w:r w:rsidR="00E85F6A" w:rsidRPr="004008DE">
        <w:rPr>
          <w:rFonts w:ascii="Times New Roman" w:hAnsi="Times New Roman" w:cs="Times New Roman"/>
          <w:sz w:val="24"/>
          <w:lang w:val="bg-BG"/>
        </w:rPr>
        <w:t>се изтъква, че нискомолекулните хепарини са за предпочитане пред всяко друго средство.</w:t>
      </w:r>
      <w:r w:rsidR="00E85F6A" w:rsidRPr="004008DE">
        <w:rPr>
          <w:rFonts w:ascii="Times New Roman" w:hAnsi="Times New Roman" w:cs="Times New Roman"/>
          <w:sz w:val="24"/>
          <w:vertAlign w:val="superscript"/>
          <w:lang w:val="bg-BG"/>
        </w:rPr>
        <w:t>42</w:t>
      </w:r>
    </w:p>
    <w:p w:rsidR="00E85F6A" w:rsidRPr="004008DE" w:rsidRDefault="00E85F6A" w:rsidP="00276280">
      <w:pPr>
        <w:spacing w:after="0" w:line="240" w:lineRule="auto"/>
        <w:rPr>
          <w:rFonts w:ascii="Times New Roman" w:hAnsi="Times New Roman" w:cs="Times New Roman"/>
          <w:sz w:val="24"/>
          <w:vertAlign w:val="superscript"/>
          <w:lang w:val="bg-BG"/>
        </w:rPr>
      </w:pPr>
      <w:r w:rsidRPr="004008DE">
        <w:rPr>
          <w:rFonts w:ascii="Times New Roman" w:hAnsi="Times New Roman" w:cs="Times New Roman"/>
          <w:sz w:val="24"/>
          <w:lang w:val="bg-BG"/>
        </w:rPr>
        <w:tab/>
        <w:t>От друга страна, консенсусът на SIGN (</w:t>
      </w:r>
      <w:r w:rsidRPr="004008DE">
        <w:rPr>
          <w:rFonts w:ascii="Times New Roman" w:hAnsi="Times New Roman" w:cs="Times New Roman"/>
          <w:color w:val="4D5156"/>
          <w:sz w:val="24"/>
          <w:szCs w:val="21"/>
          <w:shd w:val="clear" w:color="auto" w:fill="FFFFFF"/>
          <w:lang w:val="bg-BG"/>
        </w:rPr>
        <w:t xml:space="preserve">Scottish Intercollegiate </w:t>
      </w:r>
      <w:r w:rsidRPr="004008DE">
        <w:rPr>
          <w:rStyle w:val="Emphasis"/>
          <w:rFonts w:ascii="Times New Roman" w:hAnsi="Times New Roman" w:cs="Times New Roman"/>
          <w:bCs/>
          <w:i w:val="0"/>
          <w:iCs w:val="0"/>
          <w:color w:val="5F6368"/>
          <w:sz w:val="24"/>
          <w:szCs w:val="21"/>
          <w:shd w:val="clear" w:color="auto" w:fill="FFFFFF"/>
          <w:lang w:val="bg-BG"/>
        </w:rPr>
        <w:t xml:space="preserve">Guidelines </w:t>
      </w:r>
      <w:r w:rsidRPr="004008DE">
        <w:rPr>
          <w:rFonts w:ascii="Times New Roman" w:hAnsi="Times New Roman" w:cs="Times New Roman"/>
          <w:color w:val="4D5156"/>
          <w:sz w:val="24"/>
          <w:szCs w:val="21"/>
          <w:shd w:val="clear" w:color="auto" w:fill="FFFFFF"/>
          <w:lang w:val="bg-BG"/>
        </w:rPr>
        <w:t>Network</w:t>
      </w:r>
      <w:r w:rsidRPr="004008DE">
        <w:rPr>
          <w:rFonts w:ascii="Times New Roman" w:hAnsi="Times New Roman" w:cs="Times New Roman"/>
          <w:sz w:val="24"/>
          <w:lang w:val="bg-BG"/>
        </w:rPr>
        <w:t xml:space="preserve">) не препоръчва употребата на аспирин като монотерапия за профилактика на ВТЕ поради наличието на по-ефикасни средства. </w:t>
      </w:r>
      <w:r w:rsidRPr="004008DE">
        <w:rPr>
          <w:rFonts w:ascii="Times New Roman" w:hAnsi="Times New Roman" w:cs="Times New Roman"/>
          <w:sz w:val="24"/>
          <w:vertAlign w:val="superscript"/>
          <w:lang w:val="bg-BG"/>
        </w:rPr>
        <w:t>43</w:t>
      </w:r>
    </w:p>
    <w:p w:rsidR="00326B96" w:rsidRPr="004008DE" w:rsidRDefault="00326B96" w:rsidP="00276280">
      <w:pPr>
        <w:spacing w:after="0" w:line="240" w:lineRule="auto"/>
        <w:rPr>
          <w:rFonts w:ascii="Times New Roman" w:hAnsi="Times New Roman" w:cs="Times New Roman"/>
          <w:sz w:val="24"/>
          <w:lang w:val="bg-BG"/>
        </w:rPr>
      </w:pPr>
    </w:p>
    <w:p w:rsidR="00E85F6A" w:rsidRPr="004008DE" w:rsidRDefault="00E85F6A"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Антагонисти на витамин К</w:t>
      </w:r>
    </w:p>
    <w:p w:rsidR="00E85F6A" w:rsidRPr="004008DE" w:rsidRDefault="00E85F6A" w:rsidP="00276280">
      <w:pPr>
        <w:spacing w:line="240" w:lineRule="auto"/>
        <w:rPr>
          <w:rFonts w:ascii="Times New Roman" w:hAnsi="Times New Roman" w:cs="Times New Roman"/>
          <w:sz w:val="24"/>
          <w:lang w:val="bg-BG"/>
        </w:rPr>
      </w:pPr>
      <w:r w:rsidRPr="004008DE">
        <w:rPr>
          <w:rFonts w:ascii="Times New Roman" w:hAnsi="Times New Roman" w:cs="Times New Roman"/>
          <w:sz w:val="24"/>
          <w:lang w:val="bg-BG"/>
        </w:rPr>
        <w:tab/>
        <w:t>Антагонистите на витамин К (</w:t>
      </w:r>
      <w:r w:rsidRPr="00347B0E">
        <w:rPr>
          <w:rFonts w:ascii="Times New Roman" w:hAnsi="Times New Roman" w:cs="Times New Roman"/>
          <w:b/>
          <w:sz w:val="24"/>
          <w:lang w:val="bg-BG"/>
        </w:rPr>
        <w:t>аценокумарол - Синтром</w:t>
      </w:r>
      <w:r w:rsidRPr="004008DE">
        <w:rPr>
          <w:rFonts w:ascii="Times New Roman" w:hAnsi="Times New Roman" w:cs="Times New Roman"/>
          <w:sz w:val="24"/>
          <w:lang w:val="bg-BG"/>
        </w:rPr>
        <w:t>) се препоръчват от ACCP за профилактика на ВТЕ след колянно и тазобедрено ендопротезиране, както и след операции за фрактури на проксималното бедро</w:t>
      </w:r>
      <w:r w:rsidR="005F7956" w:rsidRPr="004008DE">
        <w:rPr>
          <w:rFonts w:ascii="Times New Roman" w:hAnsi="Times New Roman" w:cs="Times New Roman"/>
          <w:sz w:val="24"/>
          <w:vertAlign w:val="superscript"/>
          <w:lang w:val="bg-BG"/>
        </w:rPr>
        <w:t>4</w:t>
      </w:r>
      <w:r w:rsidR="002C0126" w:rsidRPr="004008DE">
        <w:rPr>
          <w:rFonts w:ascii="Times New Roman" w:hAnsi="Times New Roman" w:cs="Times New Roman"/>
          <w:sz w:val="24"/>
          <w:vertAlign w:val="superscript"/>
          <w:lang w:val="bg-BG"/>
        </w:rPr>
        <w:t>2</w:t>
      </w:r>
      <w:r w:rsidR="005F7956" w:rsidRPr="004008DE">
        <w:rPr>
          <w:rFonts w:ascii="Times New Roman" w:hAnsi="Times New Roman" w:cs="Times New Roman"/>
          <w:sz w:val="24"/>
          <w:lang w:val="bg-BG"/>
        </w:rPr>
        <w:t>при таргетен INR между 2 и 3. Контролът на INR трябва да започне след приема на втората или третата доза, като след стабилизиране на дозировката контролът е през 4 седмици. При преминаване от нискомолекулен или нефракциониран хепарин към антагонист на витамин К, те трябва да се застъпят поне за 2 дни, докато се постигне терапевтичната стойност на INR.</w:t>
      </w:r>
      <w:r w:rsidR="005F7956" w:rsidRPr="004008DE">
        <w:rPr>
          <w:rFonts w:ascii="Times New Roman" w:hAnsi="Times New Roman" w:cs="Times New Roman"/>
          <w:sz w:val="24"/>
          <w:vertAlign w:val="superscript"/>
          <w:lang w:val="bg-BG"/>
        </w:rPr>
        <w:t>44</w:t>
      </w:r>
    </w:p>
    <w:p w:rsidR="005F7956" w:rsidRPr="004008DE" w:rsidRDefault="005F7956" w:rsidP="008732C1">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Нефракциониран хепарин</w:t>
      </w:r>
    </w:p>
    <w:p w:rsidR="005F7956" w:rsidRPr="004008DE" w:rsidRDefault="005F7956" w:rsidP="00276280">
      <w:pPr>
        <w:spacing w:line="240" w:lineRule="auto"/>
        <w:rPr>
          <w:rFonts w:ascii="Times New Roman" w:hAnsi="Times New Roman" w:cs="Times New Roman"/>
          <w:sz w:val="24"/>
          <w:lang w:val="bg-BG"/>
        </w:rPr>
      </w:pPr>
      <w:r w:rsidRPr="004008DE">
        <w:rPr>
          <w:rFonts w:ascii="Times New Roman" w:hAnsi="Times New Roman" w:cs="Times New Roman"/>
          <w:sz w:val="24"/>
          <w:lang w:val="bg-BG"/>
        </w:rPr>
        <w:lastRenderedPageBreak/>
        <w:tab/>
        <w:t>Консенсусът на ACCP препоръчва употребата на нефракциониран хепарин за профилактика на ВТЕ при пациенти след колянно и тазобедрено ендопротезиране, както и след операции за фрактури на проксималното бедро</w:t>
      </w:r>
      <w:r w:rsidRPr="004008DE">
        <w:rPr>
          <w:rFonts w:ascii="Times New Roman" w:hAnsi="Times New Roman" w:cs="Times New Roman"/>
          <w:sz w:val="24"/>
          <w:vertAlign w:val="superscript"/>
          <w:lang w:val="bg-BG"/>
        </w:rPr>
        <w:t>4</w:t>
      </w:r>
      <w:r w:rsidR="002C0126" w:rsidRPr="004008DE">
        <w:rPr>
          <w:rFonts w:ascii="Times New Roman" w:hAnsi="Times New Roman" w:cs="Times New Roman"/>
          <w:sz w:val="24"/>
          <w:vertAlign w:val="superscript"/>
          <w:lang w:val="bg-BG"/>
        </w:rPr>
        <w:t>2</w:t>
      </w:r>
      <w:r w:rsidRPr="004008DE">
        <w:rPr>
          <w:rFonts w:ascii="Times New Roman" w:hAnsi="Times New Roman" w:cs="Times New Roman"/>
          <w:sz w:val="24"/>
          <w:lang w:val="bg-BG"/>
        </w:rPr>
        <w:t xml:space="preserve">. За проследяване на антикоагулантния му ефект служи активираното парциално тромбопластиново време (aPTT) и при нужда може да бъде неутрализиран чрез приложение на специфичен антидот – протамин сулфат, като 1 mg протамин сулфат неутрализира приблизително 100 UI хепарин. </w:t>
      </w:r>
      <w:r w:rsidRPr="004008DE">
        <w:rPr>
          <w:rFonts w:ascii="Times New Roman" w:hAnsi="Times New Roman" w:cs="Times New Roman"/>
          <w:sz w:val="24"/>
          <w:vertAlign w:val="superscript"/>
          <w:lang w:val="bg-BG"/>
        </w:rPr>
        <w:t>45</w:t>
      </w:r>
    </w:p>
    <w:p w:rsidR="00CA6CC4" w:rsidRPr="004008DE" w:rsidRDefault="00CA6CC4"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Нискомолекулни хепарини</w:t>
      </w:r>
    </w:p>
    <w:p w:rsidR="00CA6CC4" w:rsidRPr="004008DE" w:rsidRDefault="00CA6CC4" w:rsidP="00276280">
      <w:pPr>
        <w:spacing w:after="0" w:line="240" w:lineRule="auto"/>
        <w:rPr>
          <w:rFonts w:ascii="Times New Roman" w:hAnsi="Times New Roman" w:cs="Times New Roman"/>
          <w:sz w:val="24"/>
          <w:vertAlign w:val="superscript"/>
          <w:lang w:val="bg-BG"/>
        </w:rPr>
      </w:pPr>
      <w:r w:rsidRPr="004008DE">
        <w:rPr>
          <w:rFonts w:ascii="Times New Roman" w:hAnsi="Times New Roman" w:cs="Times New Roman"/>
          <w:sz w:val="24"/>
          <w:lang w:val="bg-BG"/>
        </w:rPr>
        <w:tab/>
        <w:t>В сравнение с нефракционирания хепарин, нискомолекулните хепарини имат по-предвидими фармакокинетични и фармакодинамични свойства, по-благоприятно съотношение полза/риск, по-нисък риск за не-</w:t>
      </w:r>
      <w:r w:rsidR="004008DE" w:rsidRPr="004008DE">
        <w:rPr>
          <w:rFonts w:ascii="Times New Roman" w:hAnsi="Times New Roman" w:cs="Times New Roman"/>
          <w:sz w:val="24"/>
          <w:lang w:val="bg-BG"/>
        </w:rPr>
        <w:t>хеморагични</w:t>
      </w:r>
      <w:r w:rsidRPr="004008DE">
        <w:rPr>
          <w:rFonts w:ascii="Times New Roman" w:hAnsi="Times New Roman" w:cs="Times New Roman"/>
          <w:sz w:val="24"/>
          <w:lang w:val="bg-BG"/>
        </w:rPr>
        <w:t xml:space="preserve"> странични ефекти (най-вече хепарин-индуцирана тромбоцитопения) </w:t>
      </w:r>
      <w:r w:rsidR="007D1233" w:rsidRPr="004008DE">
        <w:rPr>
          <w:rFonts w:ascii="Times New Roman" w:hAnsi="Times New Roman" w:cs="Times New Roman"/>
          <w:sz w:val="24"/>
          <w:lang w:val="bg-BG"/>
        </w:rPr>
        <w:t xml:space="preserve">и не изискват лабораторен контрол на антикоагулантния си ефект. </w:t>
      </w:r>
      <w:r w:rsidR="007D1233" w:rsidRPr="004008DE">
        <w:rPr>
          <w:rFonts w:ascii="Times New Roman" w:hAnsi="Times New Roman" w:cs="Times New Roman"/>
          <w:sz w:val="24"/>
          <w:vertAlign w:val="superscript"/>
          <w:lang w:val="bg-BG"/>
        </w:rPr>
        <w:t>45, 46</w:t>
      </w:r>
    </w:p>
    <w:p w:rsidR="007D1233" w:rsidRPr="004008DE" w:rsidRDefault="007D1233"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t>Според редица проучвания</w:t>
      </w:r>
      <w:r w:rsidRPr="004008DE">
        <w:rPr>
          <w:rFonts w:ascii="Times New Roman" w:hAnsi="Times New Roman" w:cs="Times New Roman"/>
          <w:sz w:val="24"/>
          <w:vertAlign w:val="superscript"/>
          <w:lang w:val="bg-BG"/>
        </w:rPr>
        <w:t>47-51</w:t>
      </w:r>
      <w:r w:rsidRPr="004008DE">
        <w:rPr>
          <w:rFonts w:ascii="Times New Roman" w:hAnsi="Times New Roman" w:cs="Times New Roman"/>
          <w:sz w:val="24"/>
          <w:lang w:val="bg-BG"/>
        </w:rPr>
        <w:t xml:space="preserve">, в ортопедичната хирургия нискомолекулните хепарини са по-ефикасни за профилактика на ВТЕ в сравнение с нефракционирания хепарин, антагонистите на витамин К и аспирина, без да </w:t>
      </w:r>
      <w:r w:rsidR="00D5357F" w:rsidRPr="004008DE">
        <w:rPr>
          <w:rFonts w:ascii="Times New Roman" w:hAnsi="Times New Roman" w:cs="Times New Roman"/>
          <w:sz w:val="24"/>
          <w:lang w:val="bg-BG"/>
        </w:rPr>
        <w:t xml:space="preserve">носят по-висок хеморагичен риск. </w:t>
      </w:r>
    </w:p>
    <w:p w:rsidR="00D5357F" w:rsidRPr="004008DE" w:rsidRDefault="00D5357F"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t>Последният консенсус на ACCP препоръчва нискомолекулните хепарини като оптимална профилактика на ВТЕ при пациенти след колянно и тазобедрено ендопротезиране, както и след операции за фрактури на проксималното бедро</w:t>
      </w:r>
      <w:r w:rsidRPr="004008DE">
        <w:rPr>
          <w:rFonts w:ascii="Times New Roman" w:hAnsi="Times New Roman" w:cs="Times New Roman"/>
          <w:sz w:val="24"/>
          <w:vertAlign w:val="superscript"/>
          <w:lang w:val="bg-BG"/>
        </w:rPr>
        <w:t>4</w:t>
      </w:r>
      <w:r w:rsidR="002D699C" w:rsidRPr="004008DE">
        <w:rPr>
          <w:rFonts w:ascii="Times New Roman" w:hAnsi="Times New Roman" w:cs="Times New Roman"/>
          <w:sz w:val="24"/>
          <w:vertAlign w:val="superscript"/>
          <w:lang w:val="bg-BG"/>
        </w:rPr>
        <w:t>2</w:t>
      </w:r>
      <w:r w:rsidRPr="004008DE">
        <w:rPr>
          <w:rFonts w:ascii="Times New Roman" w:hAnsi="Times New Roman" w:cs="Times New Roman"/>
          <w:sz w:val="24"/>
          <w:lang w:val="bg-BG"/>
        </w:rPr>
        <w:t>.</w:t>
      </w:r>
    </w:p>
    <w:p w:rsidR="00326B96" w:rsidRPr="004008DE" w:rsidRDefault="00326B96" w:rsidP="00276280">
      <w:pPr>
        <w:spacing w:after="0" w:line="240" w:lineRule="auto"/>
        <w:rPr>
          <w:rFonts w:ascii="Times New Roman" w:hAnsi="Times New Roman" w:cs="Times New Roman"/>
          <w:sz w:val="24"/>
          <w:lang w:val="bg-BG"/>
        </w:rPr>
      </w:pPr>
    </w:p>
    <w:p w:rsidR="00D5357F" w:rsidRPr="004008DE" w:rsidRDefault="00D5357F"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Фондапаринукс (Арикстра)</w:t>
      </w:r>
    </w:p>
    <w:p w:rsidR="00D5357F" w:rsidRPr="004008DE" w:rsidRDefault="00D5357F" w:rsidP="00276280">
      <w:pPr>
        <w:spacing w:after="0" w:line="240" w:lineRule="auto"/>
        <w:rPr>
          <w:rFonts w:ascii="Times New Roman" w:hAnsi="Times New Roman" w:cs="Times New Roman"/>
          <w:sz w:val="24"/>
          <w:szCs w:val="24"/>
          <w:lang w:val="bg-BG"/>
        </w:rPr>
      </w:pPr>
      <w:r w:rsidRPr="004008DE">
        <w:rPr>
          <w:rFonts w:ascii="Times New Roman" w:hAnsi="Times New Roman" w:cs="Times New Roman"/>
          <w:sz w:val="24"/>
          <w:lang w:val="bg-BG"/>
        </w:rPr>
        <w:tab/>
        <w:t xml:space="preserve">Фондапаринукс е синтетичен пентазахарид с анти-Ха активност, превъзхождаща тази на нискомолекулните </w:t>
      </w:r>
      <w:r w:rsidRPr="004008DE">
        <w:rPr>
          <w:rFonts w:ascii="Times New Roman" w:hAnsi="Times New Roman" w:cs="Times New Roman"/>
          <w:sz w:val="24"/>
          <w:szCs w:val="24"/>
          <w:lang w:val="bg-BG"/>
        </w:rPr>
        <w:t xml:space="preserve">хепарини и </w:t>
      </w:r>
      <w:r w:rsidRPr="00FF2CEA">
        <w:rPr>
          <w:rFonts w:ascii="Times New Roman" w:hAnsi="Times New Roman" w:cs="Times New Roman"/>
          <w:b/>
          <w:i/>
          <w:sz w:val="24"/>
          <w:szCs w:val="24"/>
          <w:lang w:val="bg-BG"/>
        </w:rPr>
        <w:t>значително по-дълъг полуживот (17 часа срещу средно 4 часа</w:t>
      </w:r>
      <w:r w:rsidRPr="004008DE">
        <w:rPr>
          <w:rFonts w:ascii="Times New Roman" w:hAnsi="Times New Roman" w:cs="Times New Roman"/>
          <w:sz w:val="24"/>
          <w:szCs w:val="24"/>
          <w:lang w:val="bg-BG"/>
        </w:rPr>
        <w:t xml:space="preserve">). </w:t>
      </w:r>
      <w:r w:rsidR="00B27D12" w:rsidRPr="004008DE">
        <w:rPr>
          <w:rFonts w:ascii="Times New Roman" w:hAnsi="Times New Roman" w:cs="Times New Roman"/>
          <w:sz w:val="24"/>
          <w:szCs w:val="24"/>
          <w:lang w:val="bg-BG"/>
        </w:rPr>
        <w:t>Регистриран е в EMA за профилактика на венозна тромбоемболия при възрастни, подложени на големи ортопедични операции на долните крайници.</w:t>
      </w:r>
    </w:p>
    <w:p w:rsidR="00D5357F" w:rsidRPr="004008DE" w:rsidRDefault="00D5357F" w:rsidP="00276280">
      <w:pPr>
        <w:spacing w:after="0" w:line="240" w:lineRule="auto"/>
        <w:rPr>
          <w:rFonts w:ascii="Times New Roman" w:hAnsi="Times New Roman" w:cs="Times New Roman"/>
          <w:sz w:val="24"/>
          <w:vertAlign w:val="superscript"/>
          <w:lang w:val="bg-BG"/>
        </w:rPr>
      </w:pPr>
      <w:r w:rsidRPr="004008DE">
        <w:rPr>
          <w:rFonts w:ascii="Times New Roman" w:hAnsi="Times New Roman" w:cs="Times New Roman"/>
          <w:sz w:val="24"/>
          <w:lang w:val="bg-BG"/>
        </w:rPr>
        <w:tab/>
      </w:r>
      <w:r w:rsidRPr="00FF2CEA">
        <w:rPr>
          <w:rFonts w:ascii="Times New Roman" w:hAnsi="Times New Roman" w:cs="Times New Roman"/>
          <w:b/>
          <w:i/>
          <w:sz w:val="24"/>
          <w:lang w:val="bg-BG"/>
        </w:rPr>
        <w:t>Предимство на фондапаринукс пред нефракционирания и нискомолекулните хепарини е това, че няма ефект върху тромбоцитите и не показва кръстосани реакции при пациенти с анамнеза за хепарин-индуцирана тромбоцитопения</w:t>
      </w:r>
      <w:r w:rsidRPr="004008DE">
        <w:rPr>
          <w:rFonts w:ascii="Times New Roman" w:hAnsi="Times New Roman" w:cs="Times New Roman"/>
          <w:sz w:val="24"/>
          <w:lang w:val="bg-BG"/>
        </w:rPr>
        <w:t xml:space="preserve">. </w:t>
      </w:r>
      <w:r w:rsidR="009F6263" w:rsidRPr="004008DE">
        <w:rPr>
          <w:rFonts w:ascii="Times New Roman" w:hAnsi="Times New Roman" w:cs="Times New Roman"/>
          <w:sz w:val="24"/>
          <w:vertAlign w:val="superscript"/>
          <w:lang w:val="bg-BG"/>
        </w:rPr>
        <w:t>37</w:t>
      </w:r>
    </w:p>
    <w:p w:rsidR="009F6263" w:rsidRPr="004008DE" w:rsidRDefault="009F6263" w:rsidP="00276280">
      <w:pPr>
        <w:spacing w:after="0" w:line="240" w:lineRule="auto"/>
        <w:rPr>
          <w:rFonts w:ascii="Times New Roman" w:hAnsi="Times New Roman" w:cs="Times New Roman"/>
          <w:sz w:val="24"/>
          <w:vertAlign w:val="superscript"/>
          <w:lang w:val="bg-BG"/>
        </w:rPr>
      </w:pPr>
      <w:r w:rsidRPr="004008DE">
        <w:rPr>
          <w:rFonts w:ascii="Times New Roman" w:hAnsi="Times New Roman" w:cs="Times New Roman"/>
          <w:sz w:val="24"/>
          <w:lang w:val="bg-BG"/>
        </w:rPr>
        <w:tab/>
        <w:t>Проучване от 2007 г., включващо над 140 000 пациенти, показва по-ниска честота на ВТЕ при употреба на фондапаринукс (1,5%) в сравнение с еноксапарин (2,3%), далтепарин (2,1%) и нефракциониран хапарин (4,5%).</w:t>
      </w:r>
      <w:r w:rsidRPr="004008DE">
        <w:rPr>
          <w:rFonts w:ascii="Times New Roman" w:hAnsi="Times New Roman" w:cs="Times New Roman"/>
          <w:sz w:val="24"/>
          <w:vertAlign w:val="superscript"/>
          <w:lang w:val="bg-BG"/>
        </w:rPr>
        <w:t>52</w:t>
      </w:r>
    </w:p>
    <w:p w:rsidR="009F6263" w:rsidRPr="004008DE" w:rsidRDefault="009F6263"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t xml:space="preserve">Последният консенсус на ACCP препоръчва фондапаринукс за профилактика на ВТЕ при пациенти след </w:t>
      </w:r>
      <w:r w:rsidRPr="002A0E36">
        <w:rPr>
          <w:rFonts w:ascii="Times New Roman" w:hAnsi="Times New Roman" w:cs="Times New Roman"/>
          <w:b/>
          <w:i/>
          <w:sz w:val="24"/>
          <w:lang w:val="bg-BG"/>
        </w:rPr>
        <w:t>колянно и тазобедрено ендопротезиране, както и след операции за фрактури на проксималното бедро, но отчита, че малката терапевтична ширина между желани и нежелани ефекти прави употребата му за продължителна профилактика по-малко привлекателна в сравнение с нискомолекулните хепарини</w:t>
      </w:r>
      <w:r w:rsidRPr="002A0E36">
        <w:rPr>
          <w:rFonts w:ascii="Times New Roman" w:hAnsi="Times New Roman" w:cs="Times New Roman"/>
          <w:b/>
          <w:i/>
          <w:sz w:val="24"/>
          <w:vertAlign w:val="superscript"/>
          <w:lang w:val="bg-BG"/>
        </w:rPr>
        <w:t>4</w:t>
      </w:r>
      <w:r w:rsidR="002D699C" w:rsidRPr="002A0E36">
        <w:rPr>
          <w:rFonts w:ascii="Times New Roman" w:hAnsi="Times New Roman" w:cs="Times New Roman"/>
          <w:b/>
          <w:i/>
          <w:sz w:val="24"/>
          <w:vertAlign w:val="superscript"/>
          <w:lang w:val="bg-BG"/>
        </w:rPr>
        <w:t>2</w:t>
      </w:r>
      <w:r w:rsidRPr="004008DE">
        <w:rPr>
          <w:rFonts w:ascii="Times New Roman" w:hAnsi="Times New Roman" w:cs="Times New Roman"/>
          <w:sz w:val="24"/>
          <w:lang w:val="bg-BG"/>
        </w:rPr>
        <w:t>.</w:t>
      </w:r>
    </w:p>
    <w:p w:rsidR="00326B96" w:rsidRPr="004008DE" w:rsidRDefault="00326B96" w:rsidP="00276280">
      <w:pPr>
        <w:spacing w:after="0" w:line="240" w:lineRule="auto"/>
        <w:rPr>
          <w:rFonts w:ascii="Times New Roman" w:hAnsi="Times New Roman" w:cs="Times New Roman"/>
          <w:sz w:val="24"/>
          <w:lang w:val="bg-BG"/>
        </w:rPr>
      </w:pPr>
    </w:p>
    <w:p w:rsidR="009F6263" w:rsidRPr="008732C1" w:rsidRDefault="009F6263" w:rsidP="00276280">
      <w:pPr>
        <w:spacing w:line="240" w:lineRule="auto"/>
        <w:rPr>
          <w:rFonts w:ascii="Times New Roman" w:hAnsi="Times New Roman" w:cs="Times New Roman"/>
          <w:sz w:val="24"/>
          <w:u w:val="single"/>
          <w:lang w:val="en-US"/>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 xml:space="preserve">Нови перорални антикоагуланти </w:t>
      </w:r>
      <w:r w:rsidR="008732C1">
        <w:rPr>
          <w:rFonts w:ascii="Times New Roman" w:hAnsi="Times New Roman" w:cs="Times New Roman"/>
          <w:sz w:val="24"/>
          <w:u w:val="single"/>
          <w:lang w:val="en-US"/>
        </w:rPr>
        <w:t>(</w:t>
      </w:r>
      <w:r w:rsidR="008732C1">
        <w:rPr>
          <w:rFonts w:ascii="Times New Roman" w:hAnsi="Times New Roman" w:cs="Times New Roman"/>
          <w:sz w:val="24"/>
          <w:u w:val="single"/>
          <w:lang w:val="bg-BG"/>
        </w:rPr>
        <w:t>директни перорални антикоагуланти</w:t>
      </w:r>
      <w:r w:rsidR="008732C1">
        <w:rPr>
          <w:rFonts w:ascii="Times New Roman" w:hAnsi="Times New Roman" w:cs="Times New Roman"/>
          <w:sz w:val="24"/>
          <w:u w:val="single"/>
          <w:lang w:val="en-US"/>
        </w:rPr>
        <w:t>)</w:t>
      </w:r>
    </w:p>
    <w:p w:rsidR="009F6263" w:rsidRPr="004008DE" w:rsidRDefault="009F6263"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Ривароксабан (</w:t>
      </w:r>
      <w:r w:rsidR="004B472F">
        <w:rPr>
          <w:rFonts w:ascii="Times New Roman" w:hAnsi="Times New Roman" w:cs="Times New Roman"/>
          <w:sz w:val="24"/>
          <w:u w:val="single"/>
          <w:lang w:val="en-US"/>
        </w:rPr>
        <w:t>Xarelto</w:t>
      </w:r>
      <w:r w:rsidRPr="004008DE">
        <w:rPr>
          <w:rFonts w:ascii="Times New Roman" w:hAnsi="Times New Roman" w:cs="Times New Roman"/>
          <w:sz w:val="24"/>
          <w:u w:val="single"/>
          <w:lang w:val="bg-BG"/>
        </w:rPr>
        <w:t>)</w:t>
      </w:r>
    </w:p>
    <w:p w:rsidR="009F6263" w:rsidRPr="00FF2CEA" w:rsidRDefault="009F6263" w:rsidP="00276280">
      <w:pPr>
        <w:spacing w:line="240" w:lineRule="auto"/>
        <w:rPr>
          <w:rFonts w:ascii="Times New Roman" w:hAnsi="Times New Roman" w:cs="Times New Roman"/>
          <w:b/>
          <w:i/>
          <w:sz w:val="24"/>
          <w:lang w:val="bg-BG"/>
        </w:rPr>
      </w:pPr>
      <w:r w:rsidRPr="004008DE">
        <w:rPr>
          <w:rFonts w:ascii="Times New Roman" w:hAnsi="Times New Roman" w:cs="Times New Roman"/>
          <w:sz w:val="24"/>
          <w:lang w:val="bg-BG"/>
        </w:rPr>
        <w:tab/>
        <w:t xml:space="preserve">От 2008 г. ривароксабан е одобрен за профилактика на ВТЕ след планово колянно и тазобедрено ендопротезиране в доза 10 mg. </w:t>
      </w:r>
      <w:r w:rsidR="00553DBA" w:rsidRPr="004008DE">
        <w:rPr>
          <w:rFonts w:ascii="Times New Roman" w:hAnsi="Times New Roman" w:cs="Times New Roman"/>
          <w:sz w:val="24"/>
          <w:vertAlign w:val="superscript"/>
          <w:lang w:val="bg-BG"/>
        </w:rPr>
        <w:t>53</w:t>
      </w:r>
      <w:r w:rsidR="00553DBA" w:rsidRPr="004008DE">
        <w:rPr>
          <w:rFonts w:ascii="Times New Roman" w:hAnsi="Times New Roman" w:cs="Times New Roman"/>
          <w:sz w:val="24"/>
          <w:lang w:val="bg-BG"/>
        </w:rPr>
        <w:t xml:space="preserve"> Последният консенсус на ACCP препоръчва употребата на ривароксабан за профилактика на ВТЕ при пациенти след колянно и тазобедрено ендопротезиране, но в него се отбелязва, </w:t>
      </w:r>
      <w:r w:rsidR="00553DBA" w:rsidRPr="00FF2CEA">
        <w:rPr>
          <w:rFonts w:ascii="Times New Roman" w:hAnsi="Times New Roman" w:cs="Times New Roman"/>
          <w:b/>
          <w:i/>
          <w:sz w:val="24"/>
          <w:lang w:val="bg-BG"/>
        </w:rPr>
        <w:t xml:space="preserve">че не е проучван </w:t>
      </w:r>
      <w:r w:rsidR="00553DBA" w:rsidRPr="00FF2CEA">
        <w:rPr>
          <w:rFonts w:ascii="Times New Roman" w:hAnsi="Times New Roman" w:cs="Times New Roman"/>
          <w:b/>
          <w:i/>
          <w:sz w:val="24"/>
          <w:lang w:val="bg-BG"/>
        </w:rPr>
        <w:lastRenderedPageBreak/>
        <w:t xml:space="preserve">за профилактика след операции за фрактури на проксималното бедро и съответно в този случай не се препоръчва. </w:t>
      </w:r>
      <w:r w:rsidR="002D699C" w:rsidRPr="00FF2CEA">
        <w:rPr>
          <w:rFonts w:ascii="Times New Roman" w:hAnsi="Times New Roman" w:cs="Times New Roman"/>
          <w:b/>
          <w:i/>
          <w:sz w:val="24"/>
          <w:vertAlign w:val="superscript"/>
          <w:lang w:val="bg-BG"/>
        </w:rPr>
        <w:t>42</w:t>
      </w:r>
    </w:p>
    <w:p w:rsidR="009F6263" w:rsidRPr="004008DE" w:rsidRDefault="009F6263"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Дабигатран (</w:t>
      </w:r>
      <w:r w:rsidR="004B472F">
        <w:rPr>
          <w:rFonts w:ascii="Times New Roman" w:hAnsi="Times New Roman" w:cs="Times New Roman"/>
          <w:sz w:val="24"/>
          <w:u w:val="single"/>
          <w:lang w:val="en-US"/>
        </w:rPr>
        <w:t>Pradaxa</w:t>
      </w:r>
      <w:r w:rsidRPr="004008DE">
        <w:rPr>
          <w:rFonts w:ascii="Times New Roman" w:hAnsi="Times New Roman" w:cs="Times New Roman"/>
          <w:sz w:val="24"/>
          <w:u w:val="single"/>
          <w:lang w:val="bg-BG"/>
        </w:rPr>
        <w:t>)</w:t>
      </w:r>
    </w:p>
    <w:p w:rsidR="00553DBA" w:rsidRPr="00FF2CEA" w:rsidRDefault="00553DBA" w:rsidP="00276280">
      <w:pPr>
        <w:spacing w:line="240" w:lineRule="auto"/>
        <w:rPr>
          <w:rFonts w:ascii="Times New Roman" w:hAnsi="Times New Roman" w:cs="Times New Roman"/>
          <w:b/>
          <w:i/>
          <w:sz w:val="24"/>
          <w:lang w:val="bg-BG"/>
        </w:rPr>
      </w:pPr>
      <w:r w:rsidRPr="004008DE">
        <w:rPr>
          <w:rFonts w:ascii="Times New Roman" w:hAnsi="Times New Roman" w:cs="Times New Roman"/>
          <w:sz w:val="24"/>
          <w:lang w:val="bg-BG"/>
        </w:rPr>
        <w:tab/>
        <w:t>Според проучвания, сравняващи дабигатран в доза 220 и 150 mg с еноксапарин, неговата ефикасност за профилактика на ВТЕ след колянно и тазобедрено ендопротезиране е сходна с тази на еноксапарин.</w:t>
      </w:r>
      <w:r w:rsidRPr="004008DE">
        <w:rPr>
          <w:rFonts w:ascii="Times New Roman" w:hAnsi="Times New Roman" w:cs="Times New Roman"/>
          <w:sz w:val="24"/>
          <w:vertAlign w:val="superscript"/>
          <w:lang w:val="bg-BG"/>
        </w:rPr>
        <w:t>54, 55</w:t>
      </w:r>
      <w:r w:rsidRPr="004008DE">
        <w:rPr>
          <w:rFonts w:ascii="Times New Roman" w:hAnsi="Times New Roman" w:cs="Times New Roman"/>
          <w:sz w:val="24"/>
          <w:lang w:val="bg-BG"/>
        </w:rPr>
        <w:t xml:space="preserve"> Последният консенсус на ACCP препоръчва употребата на дабигатран за профилактика на ВТЕ при пациенти след колянно и тазобедрено ендопротезиране, но в него се отбелязва, </w:t>
      </w:r>
      <w:r w:rsidRPr="00FF2CEA">
        <w:rPr>
          <w:rFonts w:ascii="Times New Roman" w:hAnsi="Times New Roman" w:cs="Times New Roman"/>
          <w:b/>
          <w:i/>
          <w:sz w:val="24"/>
          <w:lang w:val="bg-BG"/>
        </w:rPr>
        <w:t xml:space="preserve">че не е проучван за профилактика след операции за фрактури на проксималното бедро и съответно в този случай не се препоръчва. </w:t>
      </w:r>
      <w:r w:rsidR="002D699C" w:rsidRPr="00FF2CEA">
        <w:rPr>
          <w:rFonts w:ascii="Times New Roman" w:hAnsi="Times New Roman" w:cs="Times New Roman"/>
          <w:b/>
          <w:i/>
          <w:sz w:val="24"/>
          <w:vertAlign w:val="superscript"/>
          <w:lang w:val="bg-BG"/>
        </w:rPr>
        <w:t>42</w:t>
      </w:r>
    </w:p>
    <w:p w:rsidR="009F6263" w:rsidRPr="004008DE" w:rsidRDefault="009F6263" w:rsidP="00276280">
      <w:pPr>
        <w:spacing w:line="240" w:lineRule="auto"/>
        <w:rPr>
          <w:rFonts w:ascii="Times New Roman" w:hAnsi="Times New Roman" w:cs="Times New Roman"/>
          <w:sz w:val="24"/>
          <w:u w:val="single"/>
          <w:lang w:val="bg-BG"/>
        </w:rPr>
      </w:pPr>
      <w:r w:rsidRPr="004008DE">
        <w:rPr>
          <w:rFonts w:ascii="Times New Roman" w:hAnsi="Times New Roman" w:cs="Times New Roman"/>
          <w:sz w:val="24"/>
          <w:lang w:val="bg-BG"/>
        </w:rPr>
        <w:tab/>
      </w:r>
      <w:r w:rsidRPr="004008DE">
        <w:rPr>
          <w:rFonts w:ascii="Times New Roman" w:hAnsi="Times New Roman" w:cs="Times New Roman"/>
          <w:sz w:val="24"/>
          <w:u w:val="single"/>
          <w:lang w:val="bg-BG"/>
        </w:rPr>
        <w:t>Апиксабан (</w:t>
      </w:r>
      <w:r w:rsidR="004B472F">
        <w:rPr>
          <w:rFonts w:ascii="Times New Roman" w:hAnsi="Times New Roman" w:cs="Times New Roman"/>
          <w:sz w:val="24"/>
          <w:u w:val="single"/>
          <w:lang w:val="en-US"/>
        </w:rPr>
        <w:t>Eliquis</w:t>
      </w:r>
      <w:r w:rsidRPr="004008DE">
        <w:rPr>
          <w:rFonts w:ascii="Times New Roman" w:hAnsi="Times New Roman" w:cs="Times New Roman"/>
          <w:sz w:val="24"/>
          <w:u w:val="single"/>
          <w:lang w:val="bg-BG"/>
        </w:rPr>
        <w:t>)</w:t>
      </w:r>
    </w:p>
    <w:p w:rsidR="009F6263" w:rsidRPr="00FF2CEA" w:rsidRDefault="00553DBA" w:rsidP="00276280">
      <w:pPr>
        <w:spacing w:line="240" w:lineRule="auto"/>
        <w:ind w:firstLine="720"/>
        <w:rPr>
          <w:rFonts w:ascii="Times New Roman" w:hAnsi="Times New Roman" w:cs="Times New Roman"/>
          <w:b/>
          <w:i/>
          <w:sz w:val="24"/>
          <w:lang w:val="bg-BG"/>
        </w:rPr>
      </w:pPr>
      <w:r w:rsidRPr="004008DE">
        <w:rPr>
          <w:rFonts w:ascii="Times New Roman" w:hAnsi="Times New Roman" w:cs="Times New Roman"/>
          <w:sz w:val="24"/>
          <w:lang w:val="bg-BG"/>
        </w:rPr>
        <w:t>Според проучвания, сравняващи апиксабан с еноксапарин, неговата ефикасност за профилактика на ВТЕ след колянно и тазобедрено ендопротезиране е сходна с тази на еноксапарин.</w:t>
      </w:r>
      <w:r w:rsidRPr="004008DE">
        <w:rPr>
          <w:rFonts w:ascii="Times New Roman" w:hAnsi="Times New Roman" w:cs="Times New Roman"/>
          <w:sz w:val="24"/>
          <w:vertAlign w:val="superscript"/>
          <w:lang w:val="bg-BG"/>
        </w:rPr>
        <w:t>56, 58</w:t>
      </w:r>
      <w:r w:rsidRPr="004008DE">
        <w:rPr>
          <w:rFonts w:ascii="Times New Roman" w:hAnsi="Times New Roman" w:cs="Times New Roman"/>
          <w:sz w:val="24"/>
          <w:lang w:val="bg-BG"/>
        </w:rPr>
        <w:t xml:space="preserve"> Последният консенсус на ACCP препоръчва употребата на апиксабан за профилактика на ВТЕ при пациенти след колянно и тазобедрено ендопротезиране, </w:t>
      </w:r>
      <w:r w:rsidRPr="00FF2CEA">
        <w:rPr>
          <w:rFonts w:ascii="Times New Roman" w:hAnsi="Times New Roman" w:cs="Times New Roman"/>
          <w:b/>
          <w:i/>
          <w:sz w:val="24"/>
          <w:lang w:val="bg-BG"/>
        </w:rPr>
        <w:t xml:space="preserve">но в него се отбелязва, че не е проучван за профилактика след операции за фрактури на проксималното бедро и съответно в този случай не се препоръчва. </w:t>
      </w:r>
      <w:r w:rsidR="002D699C" w:rsidRPr="00FF2CEA">
        <w:rPr>
          <w:rFonts w:ascii="Times New Roman" w:hAnsi="Times New Roman" w:cs="Times New Roman"/>
          <w:b/>
          <w:i/>
          <w:sz w:val="24"/>
          <w:vertAlign w:val="superscript"/>
          <w:lang w:val="bg-BG"/>
        </w:rPr>
        <w:t>42</w:t>
      </w:r>
    </w:p>
    <w:p w:rsidR="004C3FC6" w:rsidRPr="00276280" w:rsidRDefault="00276280" w:rsidP="00276280">
      <w:pPr>
        <w:spacing w:line="240" w:lineRule="auto"/>
        <w:ind w:firstLine="720"/>
        <w:rPr>
          <w:rFonts w:ascii="Times New Roman" w:hAnsi="Times New Roman" w:cs="Times New Roman"/>
          <w:b/>
          <w:sz w:val="24"/>
          <w:u w:val="single"/>
          <w:lang w:val="bg-BG"/>
        </w:rPr>
      </w:pPr>
      <w:r>
        <w:rPr>
          <w:rFonts w:ascii="Times New Roman" w:hAnsi="Times New Roman" w:cs="Times New Roman"/>
          <w:b/>
          <w:sz w:val="24"/>
          <w:u w:val="single"/>
          <w:lang w:val="bg-BG"/>
        </w:rPr>
        <w:t xml:space="preserve">4. </w:t>
      </w:r>
      <w:r w:rsidR="00982DC8" w:rsidRPr="00276280">
        <w:rPr>
          <w:rFonts w:ascii="Times New Roman" w:hAnsi="Times New Roman" w:cs="Times New Roman"/>
          <w:b/>
          <w:sz w:val="24"/>
          <w:u w:val="single"/>
          <w:lang w:val="bg-BG"/>
        </w:rPr>
        <w:t>Препоръки за профилактика</w:t>
      </w:r>
    </w:p>
    <w:p w:rsidR="00982DC8" w:rsidRPr="00DA0BF0" w:rsidRDefault="00982DC8" w:rsidP="00276280">
      <w:pPr>
        <w:spacing w:after="0" w:line="240" w:lineRule="auto"/>
        <w:ind w:firstLine="720"/>
        <w:rPr>
          <w:rFonts w:ascii="Times New Roman" w:hAnsi="Times New Roman" w:cs="Times New Roman"/>
          <w:sz w:val="24"/>
          <w:u w:val="single"/>
          <w:lang w:val="bg-BG"/>
        </w:rPr>
      </w:pPr>
      <w:r w:rsidRPr="00DA0BF0">
        <w:rPr>
          <w:rFonts w:ascii="Times New Roman" w:hAnsi="Times New Roman" w:cs="Times New Roman"/>
          <w:sz w:val="24"/>
          <w:u w:val="single"/>
          <w:lang w:val="bg-BG"/>
        </w:rPr>
        <w:t xml:space="preserve">4.1 </w:t>
      </w:r>
      <w:r w:rsidR="00920A0F" w:rsidRPr="00DA0BF0">
        <w:rPr>
          <w:rFonts w:ascii="Times New Roman" w:hAnsi="Times New Roman" w:cs="Times New Roman"/>
          <w:sz w:val="24"/>
          <w:u w:val="single"/>
          <w:lang w:val="bg-BG"/>
        </w:rPr>
        <w:t>Планово к</w:t>
      </w:r>
      <w:r w:rsidRPr="00DA0BF0">
        <w:rPr>
          <w:rFonts w:ascii="Times New Roman" w:hAnsi="Times New Roman" w:cs="Times New Roman"/>
          <w:sz w:val="24"/>
          <w:u w:val="single"/>
          <w:lang w:val="bg-BG"/>
        </w:rPr>
        <w:t>олянно ендопротезиране</w:t>
      </w:r>
    </w:p>
    <w:p w:rsidR="002D72C4" w:rsidRPr="004008DE" w:rsidRDefault="002D72C4" w:rsidP="00276280">
      <w:pPr>
        <w:spacing w:after="0" w:line="240" w:lineRule="auto"/>
        <w:rPr>
          <w:rFonts w:ascii="Times New Roman" w:hAnsi="Times New Roman" w:cs="Times New Roman"/>
          <w:sz w:val="24"/>
          <w:u w:val="single"/>
          <w:lang w:val="bg-BG"/>
        </w:rPr>
      </w:pPr>
    </w:p>
    <w:p w:rsidR="00982DC8" w:rsidRPr="004008DE" w:rsidRDefault="002D699C"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t>Според утвърдените консенсуси (ACCP, AAOS, NICE, SIGN), при пациентите с колянно ендопротезиране се препоръчва фармакологична профилактика</w:t>
      </w:r>
      <w:r w:rsidR="00564BBD" w:rsidRPr="004008DE">
        <w:rPr>
          <w:rFonts w:ascii="Times New Roman" w:hAnsi="Times New Roman" w:cs="Times New Roman"/>
          <w:sz w:val="24"/>
          <w:lang w:val="bg-BG"/>
        </w:rPr>
        <w:t xml:space="preserve">. Тя </w:t>
      </w:r>
      <w:r w:rsidRPr="004008DE">
        <w:rPr>
          <w:rFonts w:ascii="Times New Roman" w:hAnsi="Times New Roman" w:cs="Times New Roman"/>
          <w:sz w:val="24"/>
          <w:lang w:val="bg-BG"/>
        </w:rPr>
        <w:t>може да се провежда с нискомолекулен хепарин, нефракциониран хепарин в ниска доза, антагонисти на витамин К, фондапаринукс (Арикстра), апиксабан (Еликвис), дабигатран (Прадакса), ривароксабан (Ксарелто), ASA (Аспирин) или интермитентна пневматична компресия</w:t>
      </w:r>
      <w:r w:rsidR="002C0126" w:rsidRPr="004008DE">
        <w:rPr>
          <w:rFonts w:ascii="Times New Roman" w:hAnsi="Times New Roman" w:cs="Times New Roman"/>
          <w:sz w:val="24"/>
          <w:lang w:val="bg-BG"/>
        </w:rPr>
        <w:t>, като златният стандарт е нискомолекулният хепарин</w:t>
      </w:r>
      <w:r w:rsidRPr="004008DE">
        <w:rPr>
          <w:rFonts w:ascii="Times New Roman" w:hAnsi="Times New Roman" w:cs="Times New Roman"/>
          <w:sz w:val="24"/>
          <w:lang w:val="bg-BG"/>
        </w:rPr>
        <w:t>. Препоръчителната продължителност на профилактиката е от 14 до 35 дни.</w:t>
      </w:r>
      <w:r w:rsidR="002C0126" w:rsidRPr="004008DE">
        <w:rPr>
          <w:rFonts w:ascii="Times New Roman" w:hAnsi="Times New Roman" w:cs="Times New Roman"/>
          <w:sz w:val="24"/>
          <w:vertAlign w:val="superscript"/>
          <w:lang w:val="bg-BG"/>
        </w:rPr>
        <w:t>41, 42</w:t>
      </w:r>
    </w:p>
    <w:p w:rsidR="002C0126" w:rsidRPr="004B472F" w:rsidRDefault="00001DE1" w:rsidP="00276280">
      <w:pPr>
        <w:spacing w:after="0" w:line="240" w:lineRule="auto"/>
        <w:ind w:left="720"/>
        <w:rPr>
          <w:rFonts w:ascii="Times New Roman" w:hAnsi="Times New Roman" w:cs="Times New Roman"/>
          <w:sz w:val="24"/>
          <w:lang w:val="bg-BG"/>
        </w:rPr>
      </w:pPr>
      <w:r w:rsidRPr="004008DE">
        <w:rPr>
          <w:rFonts w:ascii="Times New Roman" w:hAnsi="Times New Roman" w:cs="Times New Roman"/>
          <w:sz w:val="24"/>
          <w:lang w:val="bg-BG"/>
        </w:rPr>
        <w:br/>
      </w:r>
      <w:r w:rsidR="002A0E36" w:rsidRPr="004B472F">
        <w:rPr>
          <w:rFonts w:ascii="Times New Roman" w:hAnsi="Times New Roman" w:cs="Times New Roman"/>
          <w:sz w:val="24"/>
          <w:lang w:val="bg-BG"/>
        </w:rPr>
        <w:t>БОТА препоръчва</w:t>
      </w:r>
      <w:r w:rsidR="002C0126" w:rsidRPr="004B472F">
        <w:rPr>
          <w:rFonts w:ascii="Times New Roman" w:hAnsi="Times New Roman" w:cs="Times New Roman"/>
          <w:sz w:val="24"/>
          <w:lang w:val="bg-BG"/>
        </w:rPr>
        <w:t xml:space="preserve"> следните режими за профилактика:</w:t>
      </w:r>
      <w:r w:rsidRPr="004B472F">
        <w:rPr>
          <w:rFonts w:ascii="Times New Roman" w:hAnsi="Times New Roman" w:cs="Times New Roman"/>
          <w:sz w:val="24"/>
          <w:lang w:val="bg-BG"/>
        </w:rPr>
        <w:br/>
      </w:r>
    </w:p>
    <w:p w:rsidR="002C0126" w:rsidRPr="004B472F" w:rsidRDefault="002C0126" w:rsidP="00276280">
      <w:pPr>
        <w:pStyle w:val="ListParagraph"/>
        <w:numPr>
          <w:ilvl w:val="0"/>
          <w:numId w:val="7"/>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 xml:space="preserve">Нискомолекулен хепарин в стандартна </w:t>
      </w:r>
      <w:r w:rsidR="00E0113D" w:rsidRPr="004B472F">
        <w:rPr>
          <w:rFonts w:ascii="Times New Roman" w:hAnsi="Times New Roman" w:cs="Times New Roman"/>
          <w:sz w:val="24"/>
          <w:lang w:val="bg-BG"/>
        </w:rPr>
        <w:t xml:space="preserve">профилактична </w:t>
      </w:r>
      <w:r w:rsidRPr="004B472F">
        <w:rPr>
          <w:rFonts w:ascii="Times New Roman" w:hAnsi="Times New Roman" w:cs="Times New Roman"/>
          <w:sz w:val="24"/>
          <w:lang w:val="bg-BG"/>
        </w:rPr>
        <w:t>доза (Клексан 0,4 ml/24 часа</w:t>
      </w:r>
      <w:r w:rsidR="00C4192E" w:rsidRPr="004B472F">
        <w:rPr>
          <w:rFonts w:ascii="Times New Roman" w:hAnsi="Times New Roman" w:cs="Times New Roman"/>
          <w:sz w:val="24"/>
          <w:vertAlign w:val="superscript"/>
          <w:lang w:val="bg-BG"/>
        </w:rPr>
        <w:t>64</w:t>
      </w:r>
      <w:r w:rsidRPr="004B472F">
        <w:rPr>
          <w:rFonts w:ascii="Times New Roman" w:hAnsi="Times New Roman" w:cs="Times New Roman"/>
          <w:sz w:val="24"/>
          <w:lang w:val="bg-BG"/>
        </w:rPr>
        <w:t xml:space="preserve">; Фраксипарин </w:t>
      </w:r>
      <w:r w:rsidR="00E0113D" w:rsidRPr="004B472F">
        <w:rPr>
          <w:rFonts w:ascii="Times New Roman" w:hAnsi="Times New Roman" w:cs="Times New Roman"/>
          <w:sz w:val="24"/>
          <w:lang w:val="bg-BG"/>
        </w:rPr>
        <w:t>0,2 ml/24 часа при телесно тегло под 50 кг, 0,3 ml/24 часа при телесно тегло 50-69 кг, 0,4 ml/24 часа при телесно тегло над 70 кг</w:t>
      </w:r>
      <w:r w:rsidR="00C4192E" w:rsidRPr="004B472F">
        <w:rPr>
          <w:rFonts w:ascii="Times New Roman" w:hAnsi="Times New Roman" w:cs="Times New Roman"/>
          <w:sz w:val="24"/>
          <w:vertAlign w:val="superscript"/>
          <w:lang w:val="bg-BG"/>
        </w:rPr>
        <w:t>62</w:t>
      </w:r>
      <w:r w:rsidRPr="004B472F">
        <w:rPr>
          <w:rFonts w:ascii="Times New Roman" w:hAnsi="Times New Roman" w:cs="Times New Roman"/>
          <w:sz w:val="24"/>
          <w:lang w:val="bg-BG"/>
        </w:rPr>
        <w:t>)</w:t>
      </w:r>
      <w:r w:rsidR="00B91588" w:rsidRPr="004B472F">
        <w:rPr>
          <w:rFonts w:ascii="Times New Roman" w:hAnsi="Times New Roman" w:cs="Times New Roman"/>
          <w:sz w:val="24"/>
          <w:lang w:val="bg-BG"/>
        </w:rPr>
        <w:t xml:space="preserve"> в продължение на</w:t>
      </w:r>
      <w:r w:rsidR="00E0113D" w:rsidRPr="004B472F">
        <w:rPr>
          <w:rFonts w:ascii="Times New Roman" w:hAnsi="Times New Roman" w:cs="Times New Roman"/>
          <w:sz w:val="24"/>
          <w:lang w:val="bg-BG"/>
        </w:rPr>
        <w:t>14-35</w:t>
      </w:r>
      <w:r w:rsidR="00B91588" w:rsidRPr="004B472F">
        <w:rPr>
          <w:rFonts w:ascii="Times New Roman" w:hAnsi="Times New Roman" w:cs="Times New Roman"/>
          <w:sz w:val="24"/>
          <w:lang w:val="bg-BG"/>
        </w:rPr>
        <w:t xml:space="preserve"> дни</w:t>
      </w:r>
      <w:r w:rsidR="00FF2CEA" w:rsidRPr="004B472F">
        <w:rPr>
          <w:rFonts w:ascii="Times New Roman" w:hAnsi="Times New Roman" w:cs="Times New Roman"/>
          <w:sz w:val="24"/>
          <w:lang w:val="bg-BG"/>
        </w:rPr>
        <w:t>. Срок</w:t>
      </w:r>
      <w:r w:rsidR="004B472F" w:rsidRPr="004B472F">
        <w:rPr>
          <w:rFonts w:ascii="Times New Roman" w:hAnsi="Times New Roman" w:cs="Times New Roman"/>
          <w:sz w:val="24"/>
          <w:lang w:val="bg-BG"/>
        </w:rPr>
        <w:t>ът</w:t>
      </w:r>
      <w:r w:rsidR="00FF2CEA" w:rsidRPr="004B472F">
        <w:rPr>
          <w:rFonts w:ascii="Times New Roman" w:hAnsi="Times New Roman" w:cs="Times New Roman"/>
          <w:sz w:val="24"/>
          <w:lang w:val="bg-BG"/>
        </w:rPr>
        <w:t xml:space="preserve"> на профилактиката се определя от оператора</w:t>
      </w:r>
      <w:r w:rsidR="00B91588" w:rsidRPr="004B472F">
        <w:rPr>
          <w:rFonts w:ascii="Times New Roman" w:hAnsi="Times New Roman" w:cs="Times New Roman"/>
          <w:sz w:val="24"/>
          <w:lang w:val="bg-BG"/>
        </w:rPr>
        <w:t xml:space="preserve"> на базата на рисковите фактори и ранната вертикализация и натоварване на крайника. П</w:t>
      </w:r>
      <w:r w:rsidR="00E0113D" w:rsidRPr="004B472F">
        <w:rPr>
          <w:rFonts w:ascii="Times New Roman" w:hAnsi="Times New Roman" w:cs="Times New Roman"/>
          <w:sz w:val="24"/>
          <w:lang w:val="bg-BG"/>
        </w:rPr>
        <w:t xml:space="preserve">ървата доза се прилага </w:t>
      </w:r>
      <w:r w:rsidR="00B91588" w:rsidRPr="004B472F">
        <w:rPr>
          <w:rFonts w:ascii="Times New Roman" w:hAnsi="Times New Roman" w:cs="Times New Roman"/>
          <w:sz w:val="24"/>
          <w:lang w:val="bg-BG"/>
        </w:rPr>
        <w:t>6-</w:t>
      </w:r>
      <w:r w:rsidR="00E0113D" w:rsidRPr="004B472F">
        <w:rPr>
          <w:rFonts w:ascii="Times New Roman" w:hAnsi="Times New Roman" w:cs="Times New Roman"/>
          <w:sz w:val="24"/>
          <w:lang w:val="bg-BG"/>
        </w:rPr>
        <w:t xml:space="preserve">12 часа преди оперативната интервенция, а първата </w:t>
      </w:r>
      <w:r w:rsidR="00564BBD" w:rsidRPr="004B472F">
        <w:rPr>
          <w:rFonts w:ascii="Times New Roman" w:hAnsi="Times New Roman" w:cs="Times New Roman"/>
          <w:sz w:val="24"/>
          <w:lang w:val="bg-BG"/>
        </w:rPr>
        <w:t>следоперативна</w:t>
      </w:r>
      <w:r w:rsidR="00E0113D" w:rsidRPr="004B472F">
        <w:rPr>
          <w:rFonts w:ascii="Times New Roman" w:hAnsi="Times New Roman" w:cs="Times New Roman"/>
          <w:sz w:val="24"/>
          <w:lang w:val="bg-BG"/>
        </w:rPr>
        <w:t xml:space="preserve"> доза – </w:t>
      </w:r>
      <w:r w:rsidR="00B91588" w:rsidRPr="004B472F">
        <w:rPr>
          <w:rFonts w:ascii="Times New Roman" w:hAnsi="Times New Roman" w:cs="Times New Roman"/>
          <w:sz w:val="24"/>
          <w:lang w:val="bg-BG"/>
        </w:rPr>
        <w:t>6-</w:t>
      </w:r>
      <w:r w:rsidR="00E0113D" w:rsidRPr="004B472F">
        <w:rPr>
          <w:rFonts w:ascii="Times New Roman" w:hAnsi="Times New Roman" w:cs="Times New Roman"/>
          <w:sz w:val="24"/>
          <w:lang w:val="bg-BG"/>
        </w:rPr>
        <w:t>12 часа следоперативно.</w:t>
      </w:r>
    </w:p>
    <w:p w:rsidR="00E0113D" w:rsidRPr="004B472F" w:rsidRDefault="00E0113D" w:rsidP="00276280">
      <w:pPr>
        <w:pStyle w:val="ListParagraph"/>
        <w:numPr>
          <w:ilvl w:val="0"/>
          <w:numId w:val="7"/>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Фондапаринукс (Арикстра) в стандартна профилактична доза (2,5 mg/0,5 ml/24 часа) в продължение на 14-35</w:t>
      </w:r>
      <w:r w:rsidR="00B91588" w:rsidRPr="004B472F">
        <w:rPr>
          <w:rFonts w:ascii="Times New Roman" w:hAnsi="Times New Roman" w:cs="Times New Roman"/>
          <w:sz w:val="24"/>
          <w:lang w:val="bg-BG"/>
        </w:rPr>
        <w:t xml:space="preserve"> дни. </w:t>
      </w:r>
      <w:r w:rsidR="004B472F" w:rsidRPr="004B472F">
        <w:rPr>
          <w:rFonts w:ascii="Times New Roman" w:hAnsi="Times New Roman" w:cs="Times New Roman"/>
          <w:sz w:val="24"/>
          <w:lang w:val="bg-BG"/>
        </w:rPr>
        <w:t>Срокът</w:t>
      </w:r>
      <w:r w:rsidR="00B91588" w:rsidRPr="004B472F">
        <w:rPr>
          <w:rFonts w:ascii="Times New Roman" w:hAnsi="Times New Roman" w:cs="Times New Roman"/>
          <w:sz w:val="24"/>
          <w:lang w:val="bg-BG"/>
        </w:rPr>
        <w:t xml:space="preserve"> на профилактиката се определя от оператора на базата на рисковите фактори и ранната вертикализация и натоварване на крайника. Първата доза се прилага 6-12 часа преди оперативната интервенция, а първата следоперативна доза – 6-12 часа следоперативно.</w:t>
      </w:r>
      <w:r w:rsidR="00C4192E" w:rsidRPr="004B472F">
        <w:rPr>
          <w:rFonts w:ascii="Times New Roman" w:hAnsi="Times New Roman" w:cs="Times New Roman"/>
          <w:sz w:val="24"/>
          <w:vertAlign w:val="superscript"/>
          <w:lang w:val="bg-BG"/>
        </w:rPr>
        <w:t>63</w:t>
      </w:r>
    </w:p>
    <w:p w:rsidR="00E0113D" w:rsidRPr="004B472F" w:rsidRDefault="00E0113D" w:rsidP="00276280">
      <w:pPr>
        <w:pStyle w:val="ListParagraph"/>
        <w:numPr>
          <w:ilvl w:val="0"/>
          <w:numId w:val="7"/>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Нови антикоагуланти в стандартна профилактична доза (</w:t>
      </w:r>
      <w:r w:rsidR="004008DE" w:rsidRPr="004B472F">
        <w:rPr>
          <w:rFonts w:ascii="Times New Roman" w:hAnsi="Times New Roman" w:cs="Times New Roman"/>
          <w:sz w:val="24"/>
          <w:lang w:val="bg-BG"/>
        </w:rPr>
        <w:t>Прадакса</w:t>
      </w:r>
      <w:r w:rsidRPr="004B472F">
        <w:rPr>
          <w:rFonts w:ascii="Times New Roman" w:hAnsi="Times New Roman" w:cs="Times New Roman"/>
          <w:sz w:val="24"/>
          <w:lang w:val="bg-BG"/>
        </w:rPr>
        <w:t xml:space="preserve"> 220 мг. веднъж дневно</w:t>
      </w:r>
      <w:r w:rsidR="00C4192E" w:rsidRPr="004B472F">
        <w:rPr>
          <w:rFonts w:ascii="Times New Roman" w:hAnsi="Times New Roman" w:cs="Times New Roman"/>
          <w:sz w:val="24"/>
          <w:vertAlign w:val="superscript"/>
          <w:lang w:val="bg-BG"/>
        </w:rPr>
        <w:t>67</w:t>
      </w:r>
      <w:r w:rsidRPr="004B472F">
        <w:rPr>
          <w:rFonts w:ascii="Times New Roman" w:hAnsi="Times New Roman" w:cs="Times New Roman"/>
          <w:sz w:val="24"/>
          <w:lang w:val="bg-BG"/>
        </w:rPr>
        <w:t xml:space="preserve">, Ксарелто </w:t>
      </w:r>
      <w:r w:rsidR="00365502" w:rsidRPr="004B472F">
        <w:rPr>
          <w:rFonts w:ascii="Times New Roman" w:hAnsi="Times New Roman" w:cs="Times New Roman"/>
          <w:sz w:val="24"/>
          <w:lang w:val="bg-BG"/>
        </w:rPr>
        <w:t>1</w:t>
      </w:r>
      <w:r w:rsidRPr="004B472F">
        <w:rPr>
          <w:rFonts w:ascii="Times New Roman" w:hAnsi="Times New Roman" w:cs="Times New Roman"/>
          <w:sz w:val="24"/>
          <w:lang w:val="bg-BG"/>
        </w:rPr>
        <w:t>0 мг. веднъж дневно</w:t>
      </w:r>
      <w:r w:rsidR="00C4192E" w:rsidRPr="004B472F">
        <w:rPr>
          <w:rFonts w:ascii="Times New Roman" w:hAnsi="Times New Roman" w:cs="Times New Roman"/>
          <w:sz w:val="24"/>
          <w:vertAlign w:val="superscript"/>
          <w:lang w:val="bg-BG"/>
        </w:rPr>
        <w:t>66</w:t>
      </w:r>
      <w:r w:rsidRPr="004B472F">
        <w:rPr>
          <w:rFonts w:ascii="Times New Roman" w:hAnsi="Times New Roman" w:cs="Times New Roman"/>
          <w:sz w:val="24"/>
          <w:lang w:val="bg-BG"/>
        </w:rPr>
        <w:t>, Еликвис 2х2,5 мг</w:t>
      </w:r>
      <w:r w:rsidR="00C4192E" w:rsidRPr="004B472F">
        <w:rPr>
          <w:rFonts w:ascii="Times New Roman" w:hAnsi="Times New Roman" w:cs="Times New Roman"/>
          <w:sz w:val="24"/>
          <w:vertAlign w:val="superscript"/>
          <w:lang w:val="bg-BG"/>
        </w:rPr>
        <w:t>65</w:t>
      </w:r>
      <w:r w:rsidR="00B91588" w:rsidRPr="004B472F">
        <w:rPr>
          <w:rFonts w:ascii="Times New Roman" w:hAnsi="Times New Roman" w:cs="Times New Roman"/>
          <w:sz w:val="24"/>
          <w:lang w:val="bg-BG"/>
        </w:rPr>
        <w:t>)</w:t>
      </w:r>
      <w:r w:rsidR="004B472F">
        <w:rPr>
          <w:rFonts w:ascii="Times New Roman" w:hAnsi="Times New Roman" w:cs="Times New Roman"/>
          <w:sz w:val="24"/>
          <w:lang w:val="bg-BG"/>
        </w:rPr>
        <w:t>,</w:t>
      </w:r>
      <w:r w:rsidR="00B91588" w:rsidRPr="004B472F">
        <w:rPr>
          <w:rFonts w:ascii="Times New Roman" w:hAnsi="Times New Roman" w:cs="Times New Roman"/>
          <w:sz w:val="24"/>
          <w:lang w:val="bg-BG"/>
        </w:rPr>
        <w:t xml:space="preserve"> в продължение на </w:t>
      </w:r>
      <w:r w:rsidRPr="004B472F">
        <w:rPr>
          <w:rFonts w:ascii="Times New Roman" w:hAnsi="Times New Roman" w:cs="Times New Roman"/>
          <w:sz w:val="24"/>
          <w:lang w:val="bg-BG"/>
        </w:rPr>
        <w:t>14-35</w:t>
      </w:r>
      <w:r w:rsidR="00B91588" w:rsidRPr="004B472F">
        <w:rPr>
          <w:rFonts w:ascii="Times New Roman" w:hAnsi="Times New Roman" w:cs="Times New Roman"/>
          <w:sz w:val="24"/>
          <w:lang w:val="bg-BG"/>
        </w:rPr>
        <w:t xml:space="preserve"> дни. </w:t>
      </w:r>
      <w:r w:rsidR="004B472F" w:rsidRPr="004B472F">
        <w:rPr>
          <w:rFonts w:ascii="Times New Roman" w:hAnsi="Times New Roman" w:cs="Times New Roman"/>
          <w:sz w:val="24"/>
          <w:lang w:val="bg-BG"/>
        </w:rPr>
        <w:t>Срокът на профилактиката</w:t>
      </w:r>
      <w:r w:rsidR="00B91588" w:rsidRPr="004B472F">
        <w:rPr>
          <w:rFonts w:ascii="Times New Roman" w:hAnsi="Times New Roman" w:cs="Times New Roman"/>
          <w:sz w:val="24"/>
          <w:lang w:val="bg-BG"/>
        </w:rPr>
        <w:t xml:space="preserve"> се определя от оператора на базата на рисковите фактори и ранната вертикализация и натоварване на крайника. Първата </w:t>
      </w:r>
      <w:r w:rsidR="00B91588" w:rsidRPr="004B472F">
        <w:rPr>
          <w:rFonts w:ascii="Times New Roman" w:hAnsi="Times New Roman" w:cs="Times New Roman"/>
          <w:sz w:val="24"/>
          <w:lang w:val="bg-BG"/>
        </w:rPr>
        <w:lastRenderedPageBreak/>
        <w:t xml:space="preserve">доза се прилага 6-12 часа преди оперативната интервенция, а първата следоперативна доза – 6-12 часа следоперативно. </w:t>
      </w:r>
    </w:p>
    <w:p w:rsidR="00E0113D" w:rsidRPr="004B472F" w:rsidRDefault="00920A0F" w:rsidP="00276280">
      <w:pPr>
        <w:pStyle w:val="ListParagraph"/>
        <w:numPr>
          <w:ilvl w:val="0"/>
          <w:numId w:val="7"/>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 xml:space="preserve">При нискорискови за ВТЕ пациенти (Padua Prediction Score </w:t>
      </w:r>
      <w:r w:rsidR="004B472F" w:rsidRPr="004B472F">
        <w:rPr>
          <w:rFonts w:ascii="Times New Roman" w:hAnsi="Times New Roman" w:cs="Times New Roman"/>
          <w:sz w:val="24"/>
          <w:lang w:val="en-US"/>
        </w:rPr>
        <w:t>&lt;</w:t>
      </w:r>
      <w:r w:rsidR="004B472F" w:rsidRPr="004B472F">
        <w:rPr>
          <w:rFonts w:ascii="Times New Roman" w:hAnsi="Times New Roman" w:cs="Times New Roman"/>
          <w:sz w:val="24"/>
          <w:lang w:val="bg-BG"/>
        </w:rPr>
        <w:t>4</w:t>
      </w:r>
      <w:r w:rsidRPr="004B472F">
        <w:rPr>
          <w:rFonts w:ascii="Times New Roman" w:hAnsi="Times New Roman" w:cs="Times New Roman"/>
          <w:sz w:val="24"/>
          <w:lang w:val="bg-BG"/>
        </w:rPr>
        <w:t xml:space="preserve"> т.) профилактиката може да се провежда с ацетилсалицилова </w:t>
      </w:r>
      <w:r w:rsidR="00C84554" w:rsidRPr="004B472F">
        <w:rPr>
          <w:rFonts w:ascii="Times New Roman" w:hAnsi="Times New Roman" w:cs="Times New Roman"/>
          <w:sz w:val="24"/>
          <w:lang w:val="bg-BG"/>
        </w:rPr>
        <w:t>киселина</w:t>
      </w:r>
      <w:r w:rsidRPr="004B472F">
        <w:rPr>
          <w:rFonts w:ascii="Times New Roman" w:hAnsi="Times New Roman" w:cs="Times New Roman"/>
          <w:sz w:val="24"/>
          <w:lang w:val="bg-BG"/>
        </w:rPr>
        <w:t xml:space="preserve"> (ASA, аспирин) в доза 100 mg/24</w:t>
      </w:r>
      <w:r w:rsidR="00482F6E" w:rsidRPr="004B472F">
        <w:rPr>
          <w:rFonts w:ascii="Times New Roman" w:hAnsi="Times New Roman" w:cs="Times New Roman"/>
          <w:sz w:val="24"/>
          <w:lang w:val="bg-BG"/>
        </w:rPr>
        <w:t xml:space="preserve">, като първата доза се прилага </w:t>
      </w:r>
      <w:r w:rsidR="00B91588" w:rsidRPr="004B472F">
        <w:rPr>
          <w:rFonts w:ascii="Times New Roman" w:hAnsi="Times New Roman" w:cs="Times New Roman"/>
          <w:sz w:val="24"/>
          <w:lang w:val="bg-BG"/>
        </w:rPr>
        <w:t xml:space="preserve">12 </w:t>
      </w:r>
      <w:r w:rsidR="0002069F" w:rsidRPr="004B472F">
        <w:rPr>
          <w:rFonts w:ascii="Times New Roman" w:hAnsi="Times New Roman" w:cs="Times New Roman"/>
          <w:sz w:val="24"/>
          <w:lang w:val="bg-BG"/>
        </w:rPr>
        <w:t xml:space="preserve"> часа преди оперативната интервенция, а първата </w:t>
      </w:r>
      <w:r w:rsidR="00564BBD" w:rsidRPr="004B472F">
        <w:rPr>
          <w:rFonts w:ascii="Times New Roman" w:hAnsi="Times New Roman" w:cs="Times New Roman"/>
          <w:sz w:val="24"/>
          <w:lang w:val="bg-BG"/>
        </w:rPr>
        <w:t>следоперативна</w:t>
      </w:r>
      <w:r w:rsidR="0002069F" w:rsidRPr="004B472F">
        <w:rPr>
          <w:rFonts w:ascii="Times New Roman" w:hAnsi="Times New Roman" w:cs="Times New Roman"/>
          <w:sz w:val="24"/>
          <w:lang w:val="bg-BG"/>
        </w:rPr>
        <w:t xml:space="preserve"> доза – </w:t>
      </w:r>
      <w:r w:rsidR="00B91588" w:rsidRPr="004B472F">
        <w:rPr>
          <w:rFonts w:ascii="Times New Roman" w:hAnsi="Times New Roman" w:cs="Times New Roman"/>
          <w:sz w:val="24"/>
          <w:lang w:val="bg-BG"/>
        </w:rPr>
        <w:t xml:space="preserve">12 </w:t>
      </w:r>
      <w:r w:rsidR="0002069F" w:rsidRPr="004B472F">
        <w:rPr>
          <w:rFonts w:ascii="Times New Roman" w:hAnsi="Times New Roman" w:cs="Times New Roman"/>
          <w:sz w:val="24"/>
          <w:lang w:val="bg-BG"/>
        </w:rPr>
        <w:t>часа следоперативно.</w:t>
      </w:r>
    </w:p>
    <w:p w:rsidR="005166D3" w:rsidRPr="004B472F" w:rsidRDefault="005166D3" w:rsidP="00276280">
      <w:pPr>
        <w:pStyle w:val="ListParagraph"/>
        <w:numPr>
          <w:ilvl w:val="0"/>
          <w:numId w:val="7"/>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982DC8" w:rsidRPr="004008DE" w:rsidRDefault="002D699C"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r>
    </w:p>
    <w:p w:rsidR="00982DC8" w:rsidRPr="004008DE" w:rsidRDefault="00982DC8" w:rsidP="00276280">
      <w:pPr>
        <w:spacing w:after="0" w:line="240" w:lineRule="auto"/>
        <w:ind w:firstLine="567"/>
        <w:rPr>
          <w:rFonts w:ascii="Times New Roman" w:hAnsi="Times New Roman" w:cs="Times New Roman"/>
          <w:sz w:val="24"/>
          <w:lang w:val="bg-BG"/>
        </w:rPr>
      </w:pPr>
      <w:r w:rsidRPr="00DA0BF0">
        <w:rPr>
          <w:rFonts w:ascii="Times New Roman" w:hAnsi="Times New Roman" w:cs="Times New Roman"/>
          <w:sz w:val="24"/>
          <w:u w:val="single"/>
          <w:lang w:val="bg-BG"/>
        </w:rPr>
        <w:t xml:space="preserve">4.2 </w:t>
      </w:r>
      <w:r w:rsidR="00EB30F0" w:rsidRPr="00DA0BF0">
        <w:rPr>
          <w:rFonts w:ascii="Times New Roman" w:hAnsi="Times New Roman" w:cs="Times New Roman"/>
          <w:sz w:val="24"/>
          <w:u w:val="single"/>
          <w:lang w:val="bg-BG"/>
        </w:rPr>
        <w:t>Планово</w:t>
      </w:r>
      <w:r w:rsidR="00EB30F0" w:rsidRPr="004008DE">
        <w:rPr>
          <w:rFonts w:ascii="Times New Roman" w:hAnsi="Times New Roman" w:cs="Times New Roman"/>
          <w:sz w:val="24"/>
          <w:u w:val="single"/>
          <w:lang w:val="bg-BG"/>
        </w:rPr>
        <w:t xml:space="preserve"> т</w:t>
      </w:r>
      <w:r w:rsidRPr="004008DE">
        <w:rPr>
          <w:rFonts w:ascii="Times New Roman" w:hAnsi="Times New Roman" w:cs="Times New Roman"/>
          <w:sz w:val="24"/>
          <w:u w:val="single"/>
          <w:lang w:val="bg-BG"/>
        </w:rPr>
        <w:t>азобедрено ендопротезиране</w:t>
      </w:r>
    </w:p>
    <w:p w:rsidR="00982DC8" w:rsidRPr="004008DE" w:rsidRDefault="00982DC8" w:rsidP="00276280">
      <w:pPr>
        <w:spacing w:after="0" w:line="240" w:lineRule="auto"/>
        <w:rPr>
          <w:rFonts w:ascii="Times New Roman" w:hAnsi="Times New Roman" w:cs="Times New Roman"/>
          <w:sz w:val="24"/>
          <w:lang w:val="bg-BG"/>
        </w:rPr>
      </w:pPr>
    </w:p>
    <w:p w:rsidR="00564BBD" w:rsidRPr="004008DE" w:rsidRDefault="00564BBD"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Според утвърдените консенсуси (ACCP, AAOS, NICE, SIGN), при пациентите с тазобедрено ендопротезиране се препоръчва фармакологична профилактика. Тя може да се провежда с нискомолекулен хепарин, нефракциониран хепарин в ниска доза, антагонисти на витамин К, фондапаринукс (Арикстра), апиксабан (Еликвис), дабигатран (Прадакса), ривароксабан (Ксарелто), ASA (Аспирин) или интермитентна пневматична компресия, като златният стандарт е нискомолекулният хепарин. Препоръчителната продължителност на профилактиката е от 14 до 35 дни.</w:t>
      </w:r>
      <w:r w:rsidRPr="004008DE">
        <w:rPr>
          <w:rFonts w:ascii="Times New Roman" w:hAnsi="Times New Roman" w:cs="Times New Roman"/>
          <w:sz w:val="24"/>
          <w:vertAlign w:val="superscript"/>
          <w:lang w:val="bg-BG"/>
        </w:rPr>
        <w:t>41, 42</w:t>
      </w:r>
    </w:p>
    <w:p w:rsidR="00001DE1" w:rsidRPr="004008DE" w:rsidRDefault="00564BBD"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ab/>
      </w:r>
    </w:p>
    <w:p w:rsidR="00564BBD" w:rsidRPr="004008DE" w:rsidRDefault="004B472F" w:rsidP="008732C1">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564BBD" w:rsidRPr="004008DE">
        <w:rPr>
          <w:rFonts w:ascii="Times New Roman" w:hAnsi="Times New Roman" w:cs="Times New Roman"/>
          <w:sz w:val="24"/>
          <w:lang w:val="bg-BG"/>
        </w:rPr>
        <w:t xml:space="preserve"> следните режими за профилактика:</w:t>
      </w:r>
      <w:r w:rsidR="00001DE1" w:rsidRPr="004008DE">
        <w:rPr>
          <w:rFonts w:ascii="Times New Roman" w:hAnsi="Times New Roman" w:cs="Times New Roman"/>
          <w:sz w:val="24"/>
          <w:lang w:val="bg-BG"/>
        </w:rPr>
        <w:br/>
      </w:r>
    </w:p>
    <w:p w:rsidR="00C4192E" w:rsidRPr="004B472F" w:rsidRDefault="00C4192E" w:rsidP="00276280">
      <w:pPr>
        <w:pStyle w:val="ListParagraph"/>
        <w:numPr>
          <w:ilvl w:val="0"/>
          <w:numId w:val="10"/>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Нискомолекулен хепарин в стандартна профилактична доза (Клексан 0,4 ml/24 часа</w:t>
      </w:r>
      <w:r w:rsidRPr="004B472F">
        <w:rPr>
          <w:rFonts w:ascii="Times New Roman" w:hAnsi="Times New Roman" w:cs="Times New Roman"/>
          <w:sz w:val="24"/>
          <w:vertAlign w:val="superscript"/>
          <w:lang w:val="bg-BG"/>
        </w:rPr>
        <w:t>64</w:t>
      </w:r>
      <w:r w:rsidRPr="004B472F">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B472F">
        <w:rPr>
          <w:rFonts w:ascii="Times New Roman" w:hAnsi="Times New Roman" w:cs="Times New Roman"/>
          <w:sz w:val="24"/>
          <w:vertAlign w:val="superscript"/>
          <w:lang w:val="bg-BG"/>
        </w:rPr>
        <w:t>62</w:t>
      </w:r>
      <w:r w:rsidR="009B5006" w:rsidRPr="004B472F">
        <w:rPr>
          <w:rFonts w:ascii="Times New Roman" w:hAnsi="Times New Roman" w:cs="Times New Roman"/>
          <w:sz w:val="24"/>
          <w:lang w:val="bg-BG"/>
        </w:rPr>
        <w:t xml:space="preserve">) в продължение на </w:t>
      </w:r>
      <w:r w:rsidRPr="004B472F">
        <w:rPr>
          <w:rFonts w:ascii="Times New Roman" w:hAnsi="Times New Roman" w:cs="Times New Roman"/>
          <w:sz w:val="24"/>
          <w:lang w:val="bg-BG"/>
        </w:rPr>
        <w:t>14-35</w:t>
      </w:r>
      <w:r w:rsidR="009B5006" w:rsidRPr="004B472F">
        <w:rPr>
          <w:rFonts w:ascii="Times New Roman" w:hAnsi="Times New Roman" w:cs="Times New Roman"/>
          <w:sz w:val="24"/>
          <w:lang w:val="bg-BG"/>
        </w:rPr>
        <w:t xml:space="preserve"> дни. </w:t>
      </w:r>
      <w:r w:rsidR="004B472F" w:rsidRPr="004B472F">
        <w:rPr>
          <w:rFonts w:ascii="Times New Roman" w:hAnsi="Times New Roman" w:cs="Times New Roman"/>
          <w:sz w:val="24"/>
          <w:lang w:val="bg-BG"/>
        </w:rPr>
        <w:t>Срокът на профилактиката</w:t>
      </w:r>
      <w:r w:rsidR="00482F6E" w:rsidRPr="004B472F">
        <w:rPr>
          <w:rFonts w:ascii="Times New Roman" w:hAnsi="Times New Roman" w:cs="Times New Roman"/>
          <w:sz w:val="24"/>
          <w:lang w:val="bg-BG"/>
        </w:rPr>
        <w:t xml:space="preserve"> се определя от оператора на базата на рисковите фактори и ранната вертикализация и натоварване на крайника. Първата доза се прилага 6-12 часа преди оперативната интервенция, а първата следоперативна доза – 6-12 часа следоперативно.</w:t>
      </w:r>
    </w:p>
    <w:p w:rsidR="00C4192E" w:rsidRPr="004B472F" w:rsidRDefault="00C4192E" w:rsidP="00276280">
      <w:pPr>
        <w:pStyle w:val="ListParagraph"/>
        <w:numPr>
          <w:ilvl w:val="0"/>
          <w:numId w:val="10"/>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 xml:space="preserve">Фондапаринукс (Арикстра) в стандартна профилактична доза (2,5 mg/0,5 ml/24 часа) в продължение на </w:t>
      </w:r>
      <w:r w:rsidR="00482F6E" w:rsidRPr="004B472F">
        <w:rPr>
          <w:rFonts w:ascii="Times New Roman" w:hAnsi="Times New Roman" w:cs="Times New Roman"/>
          <w:sz w:val="24"/>
          <w:lang w:val="bg-BG"/>
        </w:rPr>
        <w:t xml:space="preserve">14-35 </w:t>
      </w:r>
      <w:r w:rsidRPr="004B472F">
        <w:rPr>
          <w:rFonts w:ascii="Times New Roman" w:hAnsi="Times New Roman" w:cs="Times New Roman"/>
          <w:sz w:val="24"/>
          <w:lang w:val="bg-BG"/>
        </w:rPr>
        <w:t>дни</w:t>
      </w:r>
      <w:r w:rsidR="005D687E">
        <w:rPr>
          <w:rFonts w:ascii="Times New Roman" w:hAnsi="Times New Roman" w:cs="Times New Roman"/>
          <w:sz w:val="24"/>
          <w:lang w:val="en-US"/>
        </w:rPr>
        <w:t>.</w:t>
      </w:r>
      <w:r w:rsidRPr="004B472F">
        <w:rPr>
          <w:rFonts w:ascii="Times New Roman" w:hAnsi="Times New Roman" w:cs="Times New Roman"/>
          <w:sz w:val="24"/>
          <w:lang w:val="bg-BG"/>
        </w:rPr>
        <w:t xml:space="preserve"> </w:t>
      </w:r>
      <w:r w:rsidR="004B472F" w:rsidRPr="004B472F">
        <w:rPr>
          <w:rFonts w:ascii="Times New Roman" w:hAnsi="Times New Roman" w:cs="Times New Roman"/>
          <w:sz w:val="24"/>
          <w:lang w:val="bg-BG"/>
        </w:rPr>
        <w:t>Срокът на профилактиката</w:t>
      </w:r>
      <w:r w:rsidR="00482F6E" w:rsidRPr="004B472F">
        <w:rPr>
          <w:rFonts w:ascii="Times New Roman" w:hAnsi="Times New Roman" w:cs="Times New Roman"/>
          <w:sz w:val="24"/>
          <w:lang w:val="bg-BG"/>
        </w:rPr>
        <w:t xml:space="preserve"> се определя от оператора на базата на рисковите фактори и ранната вертикализация и натоварване на крайника.</w:t>
      </w:r>
      <w:r w:rsidR="005D687E">
        <w:rPr>
          <w:rFonts w:ascii="Times New Roman" w:hAnsi="Times New Roman" w:cs="Times New Roman"/>
          <w:sz w:val="24"/>
          <w:lang w:val="en-US"/>
        </w:rPr>
        <w:t xml:space="preserve"> </w:t>
      </w:r>
      <w:r w:rsidR="00482F6E" w:rsidRPr="004B472F">
        <w:rPr>
          <w:rFonts w:ascii="Times New Roman" w:hAnsi="Times New Roman" w:cs="Times New Roman"/>
          <w:sz w:val="24"/>
          <w:lang w:val="bg-BG"/>
        </w:rPr>
        <w:t>П</w:t>
      </w:r>
      <w:r w:rsidRPr="004B472F">
        <w:rPr>
          <w:rFonts w:ascii="Times New Roman" w:hAnsi="Times New Roman" w:cs="Times New Roman"/>
          <w:sz w:val="24"/>
          <w:lang w:val="bg-BG"/>
        </w:rPr>
        <w:t xml:space="preserve">ървата доза се прилага </w:t>
      </w:r>
      <w:r w:rsidR="00482F6E" w:rsidRPr="004B472F">
        <w:rPr>
          <w:rFonts w:ascii="Times New Roman" w:hAnsi="Times New Roman" w:cs="Times New Roman"/>
          <w:sz w:val="24"/>
          <w:lang w:val="bg-BG"/>
        </w:rPr>
        <w:t>6-</w:t>
      </w:r>
      <w:r w:rsidRPr="004B472F">
        <w:rPr>
          <w:rFonts w:ascii="Times New Roman" w:hAnsi="Times New Roman" w:cs="Times New Roman"/>
          <w:sz w:val="24"/>
          <w:lang w:val="bg-BG"/>
        </w:rPr>
        <w:t xml:space="preserve">12 часа преди оперативната интервенция, а първата следоперативна доза – </w:t>
      </w:r>
      <w:r w:rsidR="00482F6E" w:rsidRPr="004B472F">
        <w:rPr>
          <w:rFonts w:ascii="Times New Roman" w:hAnsi="Times New Roman" w:cs="Times New Roman"/>
          <w:sz w:val="24"/>
          <w:lang w:val="bg-BG"/>
        </w:rPr>
        <w:t>6-12</w:t>
      </w:r>
      <w:r w:rsidRPr="004B472F">
        <w:rPr>
          <w:rFonts w:ascii="Times New Roman" w:hAnsi="Times New Roman" w:cs="Times New Roman"/>
          <w:sz w:val="24"/>
          <w:lang w:val="bg-BG"/>
        </w:rPr>
        <w:t xml:space="preserve"> часа следоперативно</w:t>
      </w:r>
      <w:r w:rsidRPr="004B472F">
        <w:rPr>
          <w:rFonts w:ascii="Times New Roman" w:hAnsi="Times New Roman" w:cs="Times New Roman"/>
          <w:sz w:val="24"/>
          <w:vertAlign w:val="superscript"/>
          <w:lang w:val="bg-BG"/>
        </w:rPr>
        <w:t>63</w:t>
      </w:r>
      <w:r w:rsidRPr="004B472F">
        <w:rPr>
          <w:rFonts w:ascii="Times New Roman" w:hAnsi="Times New Roman" w:cs="Times New Roman"/>
          <w:sz w:val="24"/>
          <w:lang w:val="bg-BG"/>
        </w:rPr>
        <w:t>.</w:t>
      </w:r>
    </w:p>
    <w:p w:rsidR="00C4192E" w:rsidRPr="004B472F" w:rsidRDefault="00C4192E" w:rsidP="00276280">
      <w:pPr>
        <w:pStyle w:val="ListParagraph"/>
        <w:numPr>
          <w:ilvl w:val="0"/>
          <w:numId w:val="10"/>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Нови антикоагуланти в стандартна профилактична доза (</w:t>
      </w:r>
      <w:r w:rsidR="004008DE" w:rsidRPr="004B472F">
        <w:rPr>
          <w:rFonts w:ascii="Times New Roman" w:hAnsi="Times New Roman" w:cs="Times New Roman"/>
          <w:sz w:val="24"/>
          <w:lang w:val="bg-BG"/>
        </w:rPr>
        <w:t>Прадакса</w:t>
      </w:r>
      <w:r w:rsidRPr="004B472F">
        <w:rPr>
          <w:rFonts w:ascii="Times New Roman" w:hAnsi="Times New Roman" w:cs="Times New Roman"/>
          <w:sz w:val="24"/>
          <w:lang w:val="bg-BG"/>
        </w:rPr>
        <w:t xml:space="preserve"> 220 мг. веднъж дневно</w:t>
      </w:r>
      <w:r w:rsidRPr="004B472F">
        <w:rPr>
          <w:rFonts w:ascii="Times New Roman" w:hAnsi="Times New Roman" w:cs="Times New Roman"/>
          <w:sz w:val="24"/>
          <w:vertAlign w:val="superscript"/>
          <w:lang w:val="bg-BG"/>
        </w:rPr>
        <w:t>67</w:t>
      </w:r>
      <w:r w:rsidRPr="004B472F">
        <w:rPr>
          <w:rFonts w:ascii="Times New Roman" w:hAnsi="Times New Roman" w:cs="Times New Roman"/>
          <w:sz w:val="24"/>
          <w:lang w:val="bg-BG"/>
        </w:rPr>
        <w:t xml:space="preserve">, Ксарелто </w:t>
      </w:r>
      <w:r w:rsidR="00365502" w:rsidRPr="004B472F">
        <w:rPr>
          <w:rFonts w:ascii="Times New Roman" w:hAnsi="Times New Roman" w:cs="Times New Roman"/>
          <w:sz w:val="24"/>
          <w:lang w:val="bg-BG"/>
        </w:rPr>
        <w:t>1</w:t>
      </w:r>
      <w:r w:rsidRPr="004B472F">
        <w:rPr>
          <w:rFonts w:ascii="Times New Roman" w:hAnsi="Times New Roman" w:cs="Times New Roman"/>
          <w:sz w:val="24"/>
          <w:lang w:val="bg-BG"/>
        </w:rPr>
        <w:t>0 мг. веднъж дневно</w:t>
      </w:r>
      <w:r w:rsidRPr="004B472F">
        <w:rPr>
          <w:rFonts w:ascii="Times New Roman" w:hAnsi="Times New Roman" w:cs="Times New Roman"/>
          <w:sz w:val="24"/>
          <w:vertAlign w:val="superscript"/>
          <w:lang w:val="bg-BG"/>
        </w:rPr>
        <w:t>66</w:t>
      </w:r>
      <w:r w:rsidRPr="004B472F">
        <w:rPr>
          <w:rFonts w:ascii="Times New Roman" w:hAnsi="Times New Roman" w:cs="Times New Roman"/>
          <w:sz w:val="24"/>
          <w:lang w:val="bg-BG"/>
        </w:rPr>
        <w:t>, Еликвис 2х2,5 мг</w:t>
      </w:r>
      <w:r w:rsidRPr="004B472F">
        <w:rPr>
          <w:rFonts w:ascii="Times New Roman" w:hAnsi="Times New Roman" w:cs="Times New Roman"/>
          <w:sz w:val="24"/>
          <w:vertAlign w:val="superscript"/>
          <w:lang w:val="bg-BG"/>
        </w:rPr>
        <w:t>65</w:t>
      </w:r>
      <w:r w:rsidR="00482F6E" w:rsidRPr="004B472F">
        <w:rPr>
          <w:rFonts w:ascii="Times New Roman" w:hAnsi="Times New Roman" w:cs="Times New Roman"/>
          <w:sz w:val="24"/>
          <w:lang w:val="bg-BG"/>
        </w:rPr>
        <w:t xml:space="preserve">), ) в продължение на </w:t>
      </w:r>
      <w:r w:rsidRPr="004B472F">
        <w:rPr>
          <w:rFonts w:ascii="Times New Roman" w:hAnsi="Times New Roman" w:cs="Times New Roman"/>
          <w:sz w:val="24"/>
          <w:lang w:val="bg-BG"/>
        </w:rPr>
        <w:t>14-35</w:t>
      </w:r>
      <w:r w:rsidR="00482F6E" w:rsidRPr="004B472F">
        <w:rPr>
          <w:rFonts w:ascii="Times New Roman" w:hAnsi="Times New Roman" w:cs="Times New Roman"/>
          <w:sz w:val="24"/>
          <w:lang w:val="bg-BG"/>
        </w:rPr>
        <w:t>дни</w:t>
      </w:r>
      <w:r w:rsidR="005D687E">
        <w:rPr>
          <w:rFonts w:ascii="Times New Roman" w:hAnsi="Times New Roman" w:cs="Times New Roman"/>
          <w:sz w:val="24"/>
          <w:lang w:val="bg-BG"/>
        </w:rPr>
        <w:t>.</w:t>
      </w:r>
      <w:r w:rsidRPr="004B472F">
        <w:rPr>
          <w:rFonts w:ascii="Times New Roman" w:hAnsi="Times New Roman" w:cs="Times New Roman"/>
          <w:sz w:val="24"/>
          <w:lang w:val="bg-BG"/>
        </w:rPr>
        <w:t xml:space="preserve"> </w:t>
      </w:r>
      <w:r w:rsidR="004B472F" w:rsidRPr="004B472F">
        <w:rPr>
          <w:rFonts w:ascii="Times New Roman" w:hAnsi="Times New Roman" w:cs="Times New Roman"/>
          <w:sz w:val="24"/>
          <w:lang w:val="bg-BG"/>
        </w:rPr>
        <w:t>Срокът на профилактиката</w:t>
      </w:r>
      <w:r w:rsidR="00482F6E" w:rsidRPr="004B472F">
        <w:rPr>
          <w:rFonts w:ascii="Times New Roman" w:hAnsi="Times New Roman" w:cs="Times New Roman"/>
          <w:sz w:val="24"/>
          <w:lang w:val="bg-BG"/>
        </w:rPr>
        <w:t xml:space="preserve"> се определя от оператора на базата на рисковите фактори и ранната вертикализация и натоварване на крайника.</w:t>
      </w:r>
      <w:r w:rsidR="005D687E">
        <w:rPr>
          <w:rFonts w:ascii="Times New Roman" w:hAnsi="Times New Roman" w:cs="Times New Roman"/>
          <w:sz w:val="24"/>
          <w:lang w:val="en-US"/>
        </w:rPr>
        <w:t xml:space="preserve"> </w:t>
      </w:r>
      <w:r w:rsidR="00482F6E" w:rsidRPr="004B472F">
        <w:rPr>
          <w:rFonts w:ascii="Times New Roman" w:hAnsi="Times New Roman" w:cs="Times New Roman"/>
          <w:sz w:val="24"/>
          <w:lang w:val="bg-BG"/>
        </w:rPr>
        <w:t>П</w:t>
      </w:r>
      <w:r w:rsidRPr="004B472F">
        <w:rPr>
          <w:rFonts w:ascii="Times New Roman" w:hAnsi="Times New Roman" w:cs="Times New Roman"/>
          <w:sz w:val="24"/>
          <w:lang w:val="bg-BG"/>
        </w:rPr>
        <w:t xml:space="preserve">ървата доза се прилага </w:t>
      </w:r>
      <w:r w:rsidR="00482F6E" w:rsidRPr="004B472F">
        <w:rPr>
          <w:rFonts w:ascii="Times New Roman" w:hAnsi="Times New Roman" w:cs="Times New Roman"/>
          <w:sz w:val="24"/>
          <w:lang w:val="bg-BG"/>
        </w:rPr>
        <w:t xml:space="preserve">6-12 </w:t>
      </w:r>
      <w:r w:rsidRPr="004B472F">
        <w:rPr>
          <w:rFonts w:ascii="Times New Roman" w:hAnsi="Times New Roman" w:cs="Times New Roman"/>
          <w:sz w:val="24"/>
          <w:lang w:val="bg-BG"/>
        </w:rPr>
        <w:t xml:space="preserve"> часа преди оперативната интервенция, а първата следоперативна доза – </w:t>
      </w:r>
      <w:r w:rsidR="00482F6E" w:rsidRPr="004B472F">
        <w:rPr>
          <w:rFonts w:ascii="Times New Roman" w:hAnsi="Times New Roman" w:cs="Times New Roman"/>
          <w:sz w:val="24"/>
          <w:lang w:val="bg-BG"/>
        </w:rPr>
        <w:t xml:space="preserve">6-12 </w:t>
      </w:r>
      <w:r w:rsidRPr="004B472F">
        <w:rPr>
          <w:rFonts w:ascii="Times New Roman" w:hAnsi="Times New Roman" w:cs="Times New Roman"/>
          <w:sz w:val="24"/>
          <w:lang w:val="bg-BG"/>
        </w:rPr>
        <w:t>часа следоперативно.</w:t>
      </w:r>
    </w:p>
    <w:p w:rsidR="00C4192E" w:rsidRPr="004B472F" w:rsidRDefault="00C4192E" w:rsidP="00276280">
      <w:pPr>
        <w:pStyle w:val="ListParagraph"/>
        <w:numPr>
          <w:ilvl w:val="0"/>
          <w:numId w:val="10"/>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 xml:space="preserve">При нискорискови за ВТЕ пациенти (Padua Prediction Score </w:t>
      </w:r>
      <w:r w:rsidR="004B472F" w:rsidRPr="004B472F">
        <w:rPr>
          <w:rFonts w:ascii="Times New Roman" w:hAnsi="Times New Roman" w:cs="Times New Roman"/>
          <w:sz w:val="24"/>
          <w:lang w:val="en-US"/>
        </w:rPr>
        <w:t>&lt;4</w:t>
      </w:r>
      <w:r w:rsidRPr="004B472F">
        <w:rPr>
          <w:rFonts w:ascii="Times New Roman" w:hAnsi="Times New Roman" w:cs="Times New Roman"/>
          <w:sz w:val="24"/>
          <w:lang w:val="bg-BG"/>
        </w:rPr>
        <w:t xml:space="preserve"> т.) профилактиката може да се провежда с ацетилсалицилова </w:t>
      </w:r>
      <w:r w:rsidR="00C84554" w:rsidRPr="004B472F">
        <w:rPr>
          <w:rFonts w:ascii="Times New Roman" w:hAnsi="Times New Roman" w:cs="Times New Roman"/>
          <w:sz w:val="24"/>
          <w:lang w:val="bg-BG"/>
        </w:rPr>
        <w:t>киселина</w:t>
      </w:r>
      <w:r w:rsidRPr="004B472F">
        <w:rPr>
          <w:rFonts w:ascii="Times New Roman" w:hAnsi="Times New Roman" w:cs="Times New Roman"/>
          <w:sz w:val="24"/>
          <w:lang w:val="bg-BG"/>
        </w:rPr>
        <w:t xml:space="preserve"> (ASA, аспирин) в доза 100 mg/24, к</w:t>
      </w:r>
      <w:r w:rsidR="00482F6E" w:rsidRPr="004B472F">
        <w:rPr>
          <w:rFonts w:ascii="Times New Roman" w:hAnsi="Times New Roman" w:cs="Times New Roman"/>
          <w:sz w:val="24"/>
          <w:lang w:val="bg-BG"/>
        </w:rPr>
        <w:t xml:space="preserve">ато първата доза се прилага 12 </w:t>
      </w:r>
      <w:r w:rsidRPr="004B472F">
        <w:rPr>
          <w:rFonts w:ascii="Times New Roman" w:hAnsi="Times New Roman" w:cs="Times New Roman"/>
          <w:sz w:val="24"/>
          <w:lang w:val="bg-BG"/>
        </w:rPr>
        <w:t xml:space="preserve"> часа преди оперативната интервенция, а първата следоперативн</w:t>
      </w:r>
      <w:r w:rsidR="00482F6E" w:rsidRPr="004B472F">
        <w:rPr>
          <w:rFonts w:ascii="Times New Roman" w:hAnsi="Times New Roman" w:cs="Times New Roman"/>
          <w:sz w:val="24"/>
          <w:lang w:val="bg-BG"/>
        </w:rPr>
        <w:t xml:space="preserve">а доза – 12 </w:t>
      </w:r>
      <w:r w:rsidRPr="004B472F">
        <w:rPr>
          <w:rFonts w:ascii="Times New Roman" w:hAnsi="Times New Roman" w:cs="Times New Roman"/>
          <w:sz w:val="24"/>
          <w:lang w:val="bg-BG"/>
        </w:rPr>
        <w:t xml:space="preserve"> часа следоперативно. </w:t>
      </w:r>
    </w:p>
    <w:p w:rsidR="00C4192E" w:rsidRPr="004B472F" w:rsidRDefault="00C4192E" w:rsidP="00276280">
      <w:pPr>
        <w:pStyle w:val="ListParagraph"/>
        <w:numPr>
          <w:ilvl w:val="0"/>
          <w:numId w:val="10"/>
        </w:numPr>
        <w:spacing w:after="0" w:line="240" w:lineRule="auto"/>
        <w:ind w:left="567" w:hanging="567"/>
        <w:rPr>
          <w:rFonts w:ascii="Times New Roman" w:hAnsi="Times New Roman" w:cs="Times New Roman"/>
          <w:sz w:val="24"/>
          <w:lang w:val="bg-BG"/>
        </w:rPr>
      </w:pPr>
      <w:r w:rsidRPr="004B472F">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982DC8" w:rsidRPr="004B472F" w:rsidRDefault="00982DC8" w:rsidP="00276280">
      <w:pPr>
        <w:spacing w:after="0" w:line="240" w:lineRule="auto"/>
        <w:rPr>
          <w:rFonts w:ascii="Times New Roman" w:hAnsi="Times New Roman" w:cs="Times New Roman"/>
          <w:sz w:val="24"/>
          <w:lang w:val="bg-BG"/>
        </w:rPr>
      </w:pPr>
    </w:p>
    <w:p w:rsidR="00982DC8" w:rsidRPr="004008DE" w:rsidRDefault="00982DC8" w:rsidP="00276280">
      <w:pPr>
        <w:spacing w:after="0" w:line="240" w:lineRule="auto"/>
        <w:ind w:firstLine="567"/>
        <w:rPr>
          <w:rFonts w:ascii="Times New Roman" w:hAnsi="Times New Roman" w:cs="Times New Roman"/>
          <w:sz w:val="24"/>
          <w:u w:val="single"/>
          <w:lang w:val="bg-BG"/>
        </w:rPr>
      </w:pPr>
      <w:r w:rsidRPr="004008DE">
        <w:rPr>
          <w:rFonts w:ascii="Times New Roman" w:hAnsi="Times New Roman" w:cs="Times New Roman"/>
          <w:sz w:val="24"/>
          <w:u w:val="single"/>
          <w:lang w:val="bg-BG"/>
        </w:rPr>
        <w:lastRenderedPageBreak/>
        <w:t>4.3 Колянна артроскопия</w:t>
      </w:r>
      <w:r w:rsidR="007A502D" w:rsidRPr="004008DE">
        <w:rPr>
          <w:rFonts w:ascii="Times New Roman" w:hAnsi="Times New Roman" w:cs="Times New Roman"/>
          <w:sz w:val="24"/>
          <w:u w:val="single"/>
          <w:lang w:val="bg-BG"/>
        </w:rPr>
        <w:br/>
      </w:r>
    </w:p>
    <w:p w:rsidR="007A502D" w:rsidRPr="000F5426" w:rsidRDefault="007A502D" w:rsidP="00276280">
      <w:pPr>
        <w:spacing w:after="0" w:line="240" w:lineRule="auto"/>
        <w:ind w:firstLine="567"/>
        <w:rPr>
          <w:rFonts w:ascii="Times New Roman" w:hAnsi="Times New Roman" w:cs="Times New Roman"/>
          <w:b/>
          <w:i/>
          <w:sz w:val="24"/>
          <w:lang w:val="bg-BG"/>
        </w:rPr>
      </w:pPr>
      <w:r w:rsidRPr="004008DE">
        <w:rPr>
          <w:rFonts w:ascii="Times New Roman" w:hAnsi="Times New Roman" w:cs="Times New Roman"/>
          <w:sz w:val="24"/>
          <w:lang w:val="bg-BG"/>
        </w:rPr>
        <w:t>Според различни проучвания, без профилактика честотата на дълбока венозна тромбоза след колянна артроскопия от 0,2% до 18%</w:t>
      </w:r>
      <w:r w:rsidRPr="004008DE">
        <w:rPr>
          <w:rFonts w:ascii="Times New Roman" w:hAnsi="Times New Roman" w:cs="Times New Roman"/>
          <w:sz w:val="24"/>
          <w:vertAlign w:val="superscript"/>
          <w:lang w:val="bg-BG"/>
        </w:rPr>
        <w:t>59, 60</w:t>
      </w:r>
      <w:r w:rsidRPr="004008DE">
        <w:rPr>
          <w:rFonts w:ascii="Times New Roman" w:hAnsi="Times New Roman" w:cs="Times New Roman"/>
          <w:sz w:val="24"/>
          <w:lang w:val="bg-BG"/>
        </w:rPr>
        <w:t xml:space="preserve"> и поради тази причина няма единно становище относно нуждата от профилактика. Последният консенсус на ACCP не препоръчва профилактика след колянна артроскопия</w:t>
      </w:r>
      <w:r w:rsidR="000F5426">
        <w:rPr>
          <w:rFonts w:ascii="Times New Roman" w:hAnsi="Times New Roman" w:cs="Times New Roman"/>
          <w:sz w:val="24"/>
          <w:lang w:val="bg-BG"/>
        </w:rPr>
        <w:t xml:space="preserve"> </w:t>
      </w:r>
      <w:r w:rsidRPr="004008DE">
        <w:rPr>
          <w:rFonts w:ascii="Times New Roman" w:hAnsi="Times New Roman" w:cs="Times New Roman"/>
          <w:sz w:val="24"/>
          <w:lang w:val="bg-BG"/>
        </w:rPr>
        <w:t>при пациентите без анамнеза за ВТЕ</w:t>
      </w:r>
      <w:r w:rsidRPr="004008DE">
        <w:rPr>
          <w:rFonts w:ascii="Times New Roman" w:hAnsi="Times New Roman" w:cs="Times New Roman"/>
          <w:sz w:val="24"/>
          <w:vertAlign w:val="superscript"/>
          <w:lang w:val="bg-BG"/>
        </w:rPr>
        <w:t>41</w:t>
      </w:r>
      <w:r w:rsidRPr="004008DE">
        <w:rPr>
          <w:rFonts w:ascii="Times New Roman" w:hAnsi="Times New Roman" w:cs="Times New Roman"/>
          <w:sz w:val="24"/>
          <w:lang w:val="bg-BG"/>
        </w:rPr>
        <w:t xml:space="preserve">. </w:t>
      </w:r>
      <w:r w:rsidR="008A7519" w:rsidRPr="004008DE">
        <w:rPr>
          <w:rFonts w:ascii="Times New Roman" w:hAnsi="Times New Roman" w:cs="Times New Roman"/>
          <w:sz w:val="24"/>
          <w:lang w:val="bg-BG"/>
        </w:rPr>
        <w:t>Според проучване на Camporese</w:t>
      </w:r>
      <w:r w:rsidR="008A7519" w:rsidRPr="004008DE">
        <w:rPr>
          <w:rFonts w:ascii="Times New Roman" w:hAnsi="Times New Roman" w:cs="Times New Roman"/>
          <w:sz w:val="24"/>
          <w:vertAlign w:val="superscript"/>
          <w:lang w:val="bg-BG"/>
        </w:rPr>
        <w:t>61</w:t>
      </w:r>
      <w:r w:rsidR="008A7519" w:rsidRPr="004008DE">
        <w:rPr>
          <w:rFonts w:ascii="Times New Roman" w:hAnsi="Times New Roman" w:cs="Times New Roman"/>
          <w:sz w:val="24"/>
          <w:lang w:val="bg-BG"/>
        </w:rPr>
        <w:t xml:space="preserve"> обаче, приложението на нискомолекулен хепарин в продължение на една седмица след колянна артроскопия намалява сумарната честота на асимптоматичната дълбока венозна тромбоза, симптоматичната венозна тромбоемболия и смъртността. </w:t>
      </w:r>
      <w:r w:rsidR="008A7519" w:rsidRPr="000F5426">
        <w:rPr>
          <w:rFonts w:ascii="Times New Roman" w:hAnsi="Times New Roman" w:cs="Times New Roman"/>
          <w:b/>
          <w:i/>
          <w:sz w:val="24"/>
          <w:lang w:val="bg-BG"/>
        </w:rPr>
        <w:t>NICE препоръчва тромбопрофилактика с нискомолекулен хепарин в продължение на 14 дни при пациентите с продължителност на анестезията над 90 минути, както и при тези, при които рискът за развитие на ВТЕ надвишава хеморагичния риск.</w:t>
      </w:r>
    </w:p>
    <w:p w:rsidR="008A7519" w:rsidRPr="004008DE" w:rsidRDefault="008A7519" w:rsidP="00276280">
      <w:pPr>
        <w:spacing w:after="0" w:line="240" w:lineRule="auto"/>
        <w:rPr>
          <w:rFonts w:ascii="Times New Roman" w:hAnsi="Times New Roman" w:cs="Times New Roman"/>
          <w:sz w:val="24"/>
          <w:lang w:val="bg-BG"/>
        </w:rPr>
      </w:pPr>
    </w:p>
    <w:p w:rsidR="00C4192E"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C4192E" w:rsidRPr="004008DE">
        <w:rPr>
          <w:rFonts w:ascii="Times New Roman" w:hAnsi="Times New Roman" w:cs="Times New Roman"/>
          <w:sz w:val="24"/>
          <w:lang w:val="bg-BG"/>
        </w:rPr>
        <w:t xml:space="preserve"> следните режими за профилактика:</w:t>
      </w:r>
      <w:r w:rsidR="00001DE1" w:rsidRPr="004008DE">
        <w:rPr>
          <w:rFonts w:ascii="Times New Roman" w:hAnsi="Times New Roman" w:cs="Times New Roman"/>
          <w:sz w:val="24"/>
          <w:lang w:val="bg-BG"/>
        </w:rPr>
        <w:br/>
      </w:r>
    </w:p>
    <w:p w:rsidR="00C4192E" w:rsidRPr="004008DE" w:rsidRDefault="00C4192E" w:rsidP="00276280">
      <w:pPr>
        <w:pStyle w:val="ListParagraph"/>
        <w:numPr>
          <w:ilvl w:val="0"/>
          <w:numId w:val="11"/>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в продължение на </w:t>
      </w:r>
      <w:r w:rsidR="00830992">
        <w:rPr>
          <w:rFonts w:ascii="Times New Roman" w:hAnsi="Times New Roman" w:cs="Times New Roman"/>
          <w:sz w:val="24"/>
          <w:lang w:val="bg-BG"/>
        </w:rPr>
        <w:t>10-14 дни</w:t>
      </w:r>
      <w:r w:rsidRPr="004008DE">
        <w:rPr>
          <w:rFonts w:ascii="Times New Roman" w:hAnsi="Times New Roman" w:cs="Times New Roman"/>
          <w:sz w:val="24"/>
          <w:lang w:val="bg-BG"/>
        </w:rPr>
        <w:t xml:space="preserve">, като първата доза се прилага </w:t>
      </w:r>
      <w:r w:rsidR="000F5426">
        <w:rPr>
          <w:rFonts w:ascii="Times New Roman" w:hAnsi="Times New Roman" w:cs="Times New Roman"/>
          <w:sz w:val="24"/>
          <w:lang w:val="bg-BG"/>
        </w:rPr>
        <w:t>6-</w:t>
      </w:r>
      <w:r w:rsidRPr="004008DE">
        <w:rPr>
          <w:rFonts w:ascii="Times New Roman" w:hAnsi="Times New Roman" w:cs="Times New Roman"/>
          <w:sz w:val="24"/>
          <w:lang w:val="bg-BG"/>
        </w:rPr>
        <w:t xml:space="preserve">12  часа преди оперативната интервенция, а първата следоперативна доза –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p>
    <w:p w:rsidR="00C4192E" w:rsidRPr="004008DE" w:rsidRDefault="00C4192E" w:rsidP="00276280">
      <w:pPr>
        <w:pStyle w:val="ListParagraph"/>
        <w:numPr>
          <w:ilvl w:val="0"/>
          <w:numId w:val="11"/>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Фондапаринукс (Арикстра) в стандартна профилактична доза (2,5 mg/0,5 ml/24 часа) в продължение на </w:t>
      </w:r>
      <w:r w:rsidR="00830992">
        <w:rPr>
          <w:rFonts w:ascii="Times New Roman" w:hAnsi="Times New Roman" w:cs="Times New Roman"/>
          <w:sz w:val="24"/>
          <w:lang w:val="bg-BG"/>
        </w:rPr>
        <w:t>10-14 дни</w:t>
      </w:r>
      <w:r w:rsidRPr="004008DE">
        <w:rPr>
          <w:rFonts w:ascii="Times New Roman" w:hAnsi="Times New Roman" w:cs="Times New Roman"/>
          <w:sz w:val="24"/>
          <w:lang w:val="bg-BG"/>
        </w:rPr>
        <w:t xml:space="preserve">, като първата доза се прилага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r w:rsidRPr="004008DE">
        <w:rPr>
          <w:rFonts w:ascii="Times New Roman" w:hAnsi="Times New Roman" w:cs="Times New Roman"/>
          <w:sz w:val="24"/>
          <w:vertAlign w:val="superscript"/>
          <w:lang w:val="bg-BG"/>
        </w:rPr>
        <w:t>63</w:t>
      </w:r>
      <w:r w:rsidRPr="004008DE">
        <w:rPr>
          <w:rFonts w:ascii="Times New Roman" w:hAnsi="Times New Roman" w:cs="Times New Roman"/>
          <w:sz w:val="24"/>
          <w:lang w:val="bg-BG"/>
        </w:rPr>
        <w:t>.</w:t>
      </w:r>
    </w:p>
    <w:p w:rsidR="00100F4A" w:rsidRPr="004008DE" w:rsidRDefault="00100F4A" w:rsidP="00276280">
      <w:pPr>
        <w:pStyle w:val="ListParagraph"/>
        <w:numPr>
          <w:ilvl w:val="0"/>
          <w:numId w:val="11"/>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При нискорискови за ВТЕ пациенти (Padua Prediction Score </w:t>
      </w:r>
      <w:r w:rsidR="00083221">
        <w:rPr>
          <w:rFonts w:ascii="Times New Roman" w:hAnsi="Times New Roman" w:cs="Times New Roman"/>
          <w:sz w:val="24"/>
          <w:lang w:val="en-US"/>
        </w:rPr>
        <w:t>&gt;4</w:t>
      </w:r>
      <w:r w:rsidRPr="004008DE">
        <w:rPr>
          <w:rFonts w:ascii="Times New Roman" w:hAnsi="Times New Roman" w:cs="Times New Roman"/>
          <w:sz w:val="24"/>
          <w:lang w:val="bg-BG"/>
        </w:rPr>
        <w:t xml:space="preserve"> т.) профилактиката може да се провежда </w:t>
      </w:r>
      <w:r w:rsidR="00830992">
        <w:rPr>
          <w:rFonts w:ascii="Times New Roman" w:hAnsi="Times New Roman" w:cs="Times New Roman"/>
          <w:sz w:val="24"/>
          <w:lang w:val="bg-BG"/>
        </w:rPr>
        <w:t xml:space="preserve">за 10-14 дни </w:t>
      </w:r>
      <w:r w:rsidRPr="004008DE">
        <w:rPr>
          <w:rFonts w:ascii="Times New Roman" w:hAnsi="Times New Roman" w:cs="Times New Roman"/>
          <w:sz w:val="24"/>
          <w:lang w:val="bg-BG"/>
        </w:rPr>
        <w:t xml:space="preserve">с ацетилсалицилова </w:t>
      </w:r>
      <w:r w:rsidR="00C84554" w:rsidRPr="004008DE">
        <w:rPr>
          <w:rFonts w:ascii="Times New Roman" w:hAnsi="Times New Roman" w:cs="Times New Roman"/>
          <w:sz w:val="24"/>
          <w:lang w:val="bg-BG"/>
        </w:rPr>
        <w:t>киселина</w:t>
      </w:r>
      <w:r w:rsidRPr="004008DE">
        <w:rPr>
          <w:rFonts w:ascii="Times New Roman" w:hAnsi="Times New Roman" w:cs="Times New Roman"/>
          <w:sz w:val="24"/>
          <w:lang w:val="bg-BG"/>
        </w:rPr>
        <w:t xml:space="preserve"> (ASA, аспирин) в доза 100 mg/24, като първата доза се прилага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 </w:t>
      </w:r>
    </w:p>
    <w:p w:rsidR="00100F4A" w:rsidRPr="004008DE" w:rsidRDefault="00100F4A" w:rsidP="00276280">
      <w:pPr>
        <w:pStyle w:val="ListParagraph"/>
        <w:numPr>
          <w:ilvl w:val="0"/>
          <w:numId w:val="11"/>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D955E8" w:rsidRPr="004008DE" w:rsidRDefault="00D955E8" w:rsidP="00276280">
      <w:pPr>
        <w:spacing w:after="0" w:line="240" w:lineRule="auto"/>
        <w:rPr>
          <w:rFonts w:ascii="Times New Roman" w:hAnsi="Times New Roman" w:cs="Times New Roman"/>
          <w:sz w:val="24"/>
          <w:lang w:val="bg-BG"/>
        </w:rPr>
      </w:pPr>
    </w:p>
    <w:p w:rsidR="00982DC8" w:rsidRPr="004008DE" w:rsidRDefault="00982DC8" w:rsidP="00276280">
      <w:pPr>
        <w:spacing w:after="0" w:line="240" w:lineRule="auto"/>
        <w:ind w:firstLine="567"/>
        <w:rPr>
          <w:rFonts w:ascii="Times New Roman" w:hAnsi="Times New Roman" w:cs="Times New Roman"/>
          <w:sz w:val="24"/>
          <w:lang w:val="bg-BG"/>
        </w:rPr>
      </w:pPr>
      <w:r w:rsidRPr="00DA0BF0">
        <w:rPr>
          <w:rFonts w:ascii="Times New Roman" w:hAnsi="Times New Roman" w:cs="Times New Roman"/>
          <w:sz w:val="24"/>
          <w:u w:val="single"/>
          <w:lang w:val="bg-BG"/>
        </w:rPr>
        <w:t>4.4 Операции</w:t>
      </w:r>
      <w:r w:rsidRPr="004008DE">
        <w:rPr>
          <w:rFonts w:ascii="Times New Roman" w:hAnsi="Times New Roman" w:cs="Times New Roman"/>
          <w:sz w:val="24"/>
          <w:u w:val="single"/>
          <w:lang w:val="bg-BG"/>
        </w:rPr>
        <w:t xml:space="preserve"> на горен крайник</w:t>
      </w:r>
      <w:r w:rsidR="008A665D" w:rsidRPr="004008DE">
        <w:rPr>
          <w:rFonts w:ascii="Times New Roman" w:hAnsi="Times New Roman" w:cs="Times New Roman"/>
          <w:sz w:val="24"/>
          <w:lang w:val="bg-BG"/>
        </w:rPr>
        <w:br/>
      </w:r>
    </w:p>
    <w:p w:rsidR="000F5426" w:rsidRDefault="008A665D" w:rsidP="00276280">
      <w:pPr>
        <w:spacing w:after="0" w:line="240" w:lineRule="auto"/>
        <w:ind w:firstLine="567"/>
        <w:rPr>
          <w:rStyle w:val="normaltextrun"/>
          <w:rFonts w:ascii="Calibri Light" w:hAnsi="Calibri Light" w:cs="Calibri Light"/>
          <w:color w:val="000000"/>
          <w:sz w:val="40"/>
          <w:szCs w:val="40"/>
          <w:bdr w:val="none" w:sz="0" w:space="0" w:color="auto" w:frame="1"/>
          <w:lang w:val="bg-BG"/>
        </w:rPr>
      </w:pPr>
      <w:r w:rsidRPr="004008DE">
        <w:rPr>
          <w:rFonts w:ascii="Times New Roman" w:hAnsi="Times New Roman" w:cs="Times New Roman"/>
          <w:sz w:val="24"/>
          <w:lang w:val="bg-BG"/>
        </w:rPr>
        <w:t>В световен мащаб липсват ясни препоръки относно профилактиката на ВТЕ при пациентите след операции на горния крайник, включително и след раменно ендопротезиране. По литературни данни честотата на ВТЕ след операции на раменната става (общо за тотална артропластика, хемиартропластика и артроскопия) варира от 0,02% до 13%</w:t>
      </w:r>
      <w:r w:rsidRPr="004008DE">
        <w:rPr>
          <w:rFonts w:ascii="Times New Roman" w:hAnsi="Times New Roman" w:cs="Times New Roman"/>
          <w:sz w:val="24"/>
          <w:vertAlign w:val="superscript"/>
          <w:lang w:val="bg-BG"/>
        </w:rPr>
        <w:t>68</w:t>
      </w:r>
      <w:r w:rsidRPr="004008DE">
        <w:rPr>
          <w:rFonts w:ascii="Times New Roman" w:hAnsi="Times New Roman" w:cs="Times New Roman"/>
          <w:sz w:val="24"/>
          <w:lang w:val="bg-BG"/>
        </w:rPr>
        <w:t>. Day et al. Съобщават, че честотата на ВТЕ след раменно ендопротезиране е по-ниска, отколкото след ендопротезиране на долния крайник, въпреки че стандартно не се провежда профилактика. Също така съобщават, че усложненията, свързани с профилактиката – като раневи хематоми, не се различават значително в сравнение с ендопротезирането на долния крайник. Поради това те смятат, че раменното протезиране не налага профилактика на ВТЕ.</w:t>
      </w:r>
      <w:r w:rsidRPr="004008DE">
        <w:rPr>
          <w:rFonts w:ascii="Times New Roman" w:hAnsi="Times New Roman" w:cs="Times New Roman"/>
          <w:sz w:val="24"/>
          <w:vertAlign w:val="superscript"/>
          <w:lang w:val="bg-BG"/>
        </w:rPr>
        <w:t xml:space="preserve"> 69</w:t>
      </w:r>
    </w:p>
    <w:p w:rsidR="000F5426" w:rsidRPr="00083221" w:rsidRDefault="000F5426" w:rsidP="00276280">
      <w:pPr>
        <w:pStyle w:val="paragraph"/>
        <w:spacing w:before="0" w:beforeAutospacing="0" w:after="0" w:afterAutospacing="0"/>
        <w:ind w:firstLine="567"/>
        <w:textAlignment w:val="baseline"/>
        <w:rPr>
          <w:szCs w:val="22"/>
          <w:lang w:val="bg-BG"/>
        </w:rPr>
      </w:pPr>
      <w:r w:rsidRPr="00083221">
        <w:rPr>
          <w:rStyle w:val="normaltextrun"/>
          <w:szCs w:val="22"/>
          <w:lang w:val="bg-BG"/>
        </w:rPr>
        <w:t>Германската ор</w:t>
      </w:r>
      <w:r w:rsidR="00504309" w:rsidRPr="00083221">
        <w:rPr>
          <w:rStyle w:val="normaltextrun"/>
          <w:szCs w:val="22"/>
          <w:lang w:val="bg-BG"/>
        </w:rPr>
        <w:t>топедично</w:t>
      </w:r>
      <w:r w:rsidR="00083221">
        <w:rPr>
          <w:rStyle w:val="normaltextrun"/>
          <w:szCs w:val="22"/>
        </w:rPr>
        <w:t>-</w:t>
      </w:r>
      <w:r w:rsidR="00504309" w:rsidRPr="00083221">
        <w:rPr>
          <w:rStyle w:val="normaltextrun"/>
          <w:szCs w:val="22"/>
          <w:lang w:val="bg-BG"/>
        </w:rPr>
        <w:t>травматологична асоциа</w:t>
      </w:r>
      <w:r w:rsidRPr="00083221">
        <w:rPr>
          <w:rStyle w:val="normaltextrun"/>
          <w:szCs w:val="22"/>
          <w:lang w:val="bg-BG"/>
        </w:rPr>
        <w:t>ц</w:t>
      </w:r>
      <w:r w:rsidR="00504309" w:rsidRPr="00083221">
        <w:rPr>
          <w:rStyle w:val="normaltextrun"/>
          <w:szCs w:val="22"/>
          <w:lang w:val="bg-BG"/>
        </w:rPr>
        <w:t>ия</w:t>
      </w:r>
      <w:r w:rsidRPr="00083221">
        <w:rPr>
          <w:rStyle w:val="normaltextrun"/>
          <w:szCs w:val="22"/>
          <w:lang w:val="bg-BG"/>
        </w:rPr>
        <w:t xml:space="preserve"> </w:t>
      </w:r>
      <w:r w:rsidR="005771B3" w:rsidRPr="00083221">
        <w:rPr>
          <w:rStyle w:val="normaltextrun"/>
          <w:szCs w:val="22"/>
          <w:lang w:val="bg-BG"/>
        </w:rPr>
        <w:t xml:space="preserve">не препоръчва </w:t>
      </w:r>
      <w:r w:rsidRPr="00083221">
        <w:rPr>
          <w:rStyle w:val="normaltextrun"/>
          <w:szCs w:val="22"/>
          <w:lang w:val="bg-BG"/>
        </w:rPr>
        <w:t xml:space="preserve">антитромботична профилактика </w:t>
      </w:r>
      <w:r w:rsidR="00083221" w:rsidRPr="00083221">
        <w:rPr>
          <w:rStyle w:val="normaltextrun"/>
          <w:szCs w:val="22"/>
          <w:lang w:val="bg-BG"/>
        </w:rPr>
        <w:t xml:space="preserve">след операции на горен крайник </w:t>
      </w:r>
      <w:r w:rsidRPr="00083221">
        <w:rPr>
          <w:rStyle w:val="normaltextrun"/>
          <w:szCs w:val="22"/>
          <w:lang w:val="bg-BG"/>
        </w:rPr>
        <w:t>(научноекспертен консенсус).</w:t>
      </w:r>
    </w:p>
    <w:p w:rsidR="000F5426" w:rsidRPr="00083221" w:rsidRDefault="000F5426" w:rsidP="00276280">
      <w:pPr>
        <w:pStyle w:val="paragraph"/>
        <w:spacing w:before="0" w:beforeAutospacing="0" w:after="0" w:afterAutospacing="0"/>
        <w:ind w:firstLine="567"/>
        <w:textAlignment w:val="baseline"/>
        <w:rPr>
          <w:szCs w:val="22"/>
          <w:lang w:val="bg-BG"/>
        </w:rPr>
      </w:pPr>
      <w:r w:rsidRPr="00083221">
        <w:rPr>
          <w:rStyle w:val="normaltextrun"/>
          <w:szCs w:val="22"/>
          <w:lang w:val="bg-BG"/>
        </w:rPr>
        <w:lastRenderedPageBreak/>
        <w:t xml:space="preserve">При имплантиране на раменна става след травма, при пациенти с карцином или при наличието на </w:t>
      </w:r>
      <w:r w:rsidR="00083221" w:rsidRPr="00083221">
        <w:rPr>
          <w:rStyle w:val="normaltextrun"/>
          <w:szCs w:val="22"/>
          <w:lang w:val="bg-BG"/>
        </w:rPr>
        <w:t>допълнителни</w:t>
      </w:r>
      <w:r w:rsidRPr="00083221">
        <w:rPr>
          <w:rStyle w:val="normaltextrun"/>
          <w:szCs w:val="22"/>
          <w:lang w:val="bg-BG"/>
        </w:rPr>
        <w:t xml:space="preserve"> рискови фактори може да се предпише антитромботична профилактика.  В общи линии след опе</w:t>
      </w:r>
      <w:r w:rsidR="00083221">
        <w:rPr>
          <w:rStyle w:val="normaltextrun"/>
          <w:szCs w:val="22"/>
          <w:lang w:val="bg-BG"/>
        </w:rPr>
        <w:t>рация на горен крайник или рамо, рискът за развитие на ВТЕ или БТЕ е много нисък</w:t>
      </w:r>
      <w:r w:rsidRPr="00083221">
        <w:rPr>
          <w:rStyle w:val="normaltextrun"/>
          <w:szCs w:val="22"/>
          <w:lang w:val="bg-BG"/>
        </w:rPr>
        <w:t>. Ретроспектив</w:t>
      </w:r>
      <w:r w:rsidR="00083221">
        <w:rPr>
          <w:rStyle w:val="normaltextrun"/>
          <w:szCs w:val="22"/>
          <w:lang w:val="bg-BG"/>
        </w:rPr>
        <w:t>е</w:t>
      </w:r>
      <w:r w:rsidRPr="00083221">
        <w:rPr>
          <w:rStyle w:val="normaltextrun"/>
          <w:szCs w:val="22"/>
          <w:lang w:val="bg-BG"/>
        </w:rPr>
        <w:t xml:space="preserve">н анализ </w:t>
      </w:r>
      <w:r w:rsidR="00083221">
        <w:rPr>
          <w:rStyle w:val="normaltextrun"/>
          <w:szCs w:val="22"/>
          <w:lang w:val="bg-BG"/>
        </w:rPr>
        <w:t xml:space="preserve">на </w:t>
      </w:r>
      <w:r w:rsidRPr="00083221">
        <w:rPr>
          <w:rStyle w:val="normaltextrun"/>
          <w:szCs w:val="22"/>
          <w:lang w:val="bg-BG"/>
        </w:rPr>
        <w:t xml:space="preserve">пациенти след раменно протезиране показва </w:t>
      </w:r>
      <w:r w:rsidR="00083221">
        <w:rPr>
          <w:rStyle w:val="normaltextrun"/>
          <w:szCs w:val="22"/>
          <w:lang w:val="bg-BG"/>
        </w:rPr>
        <w:t xml:space="preserve">честота от </w:t>
      </w:r>
      <w:r w:rsidRPr="00083221">
        <w:rPr>
          <w:rStyle w:val="normaltextrun"/>
          <w:szCs w:val="22"/>
          <w:lang w:val="bg-BG"/>
        </w:rPr>
        <w:t xml:space="preserve">0,5% на </w:t>
      </w:r>
      <w:r w:rsidR="00083221">
        <w:rPr>
          <w:rStyle w:val="normaltextrun"/>
          <w:szCs w:val="22"/>
          <w:lang w:val="bg-BG"/>
        </w:rPr>
        <w:t>ВТЕ</w:t>
      </w:r>
      <w:r w:rsidRPr="00083221">
        <w:rPr>
          <w:rStyle w:val="normaltextrun"/>
          <w:szCs w:val="22"/>
          <w:lang w:val="bg-BG"/>
        </w:rPr>
        <w:t xml:space="preserve"> и 0,23% на </w:t>
      </w:r>
      <w:r w:rsidR="00083221">
        <w:rPr>
          <w:rStyle w:val="normaltextrun"/>
          <w:szCs w:val="22"/>
          <w:lang w:val="bg-BG"/>
        </w:rPr>
        <w:t>БТЕ</w:t>
      </w:r>
      <w:r w:rsidRPr="00083221">
        <w:rPr>
          <w:rStyle w:val="normaltextrun"/>
          <w:szCs w:val="22"/>
          <w:lang w:val="bg-BG"/>
        </w:rPr>
        <w:t>. Изследване на </w:t>
      </w:r>
      <w:r w:rsidRPr="00083221">
        <w:rPr>
          <w:rStyle w:val="normaltextrun"/>
          <w:szCs w:val="22"/>
        </w:rPr>
        <w:t> National</w:t>
      </w:r>
      <w:r w:rsidR="00083221">
        <w:rPr>
          <w:rStyle w:val="normaltextrun"/>
          <w:szCs w:val="22"/>
          <w:lang w:val="bg-BG"/>
        </w:rPr>
        <w:t xml:space="preserve"> </w:t>
      </w:r>
      <w:r w:rsidRPr="00083221">
        <w:rPr>
          <w:rStyle w:val="normaltextrun"/>
          <w:szCs w:val="22"/>
        </w:rPr>
        <w:t>Health</w:t>
      </w:r>
      <w:r w:rsidR="00083221">
        <w:rPr>
          <w:rStyle w:val="normaltextrun"/>
          <w:szCs w:val="22"/>
          <w:lang w:val="bg-BG"/>
        </w:rPr>
        <w:t xml:space="preserve"> </w:t>
      </w:r>
      <w:r w:rsidRPr="00083221">
        <w:rPr>
          <w:rStyle w:val="normaltextrun"/>
          <w:szCs w:val="22"/>
        </w:rPr>
        <w:t>Service</w:t>
      </w:r>
      <w:r w:rsidRPr="00083221">
        <w:rPr>
          <w:rStyle w:val="normaltextrun"/>
          <w:szCs w:val="22"/>
          <w:lang w:val="bg-BG"/>
        </w:rPr>
        <w:t xml:space="preserve"> (</w:t>
      </w:r>
      <w:r w:rsidRPr="00083221">
        <w:rPr>
          <w:rStyle w:val="normaltextrun"/>
          <w:szCs w:val="22"/>
        </w:rPr>
        <w:t>NHS</w:t>
      </w:r>
      <w:r w:rsidRPr="00083221">
        <w:rPr>
          <w:rStyle w:val="normaltextrun"/>
          <w:szCs w:val="22"/>
          <w:lang w:val="bg-BG"/>
        </w:rPr>
        <w:t>)</w:t>
      </w:r>
      <w:r w:rsidR="00083221">
        <w:rPr>
          <w:rStyle w:val="normaltextrun"/>
          <w:szCs w:val="22"/>
          <w:lang w:val="bg-BG"/>
        </w:rPr>
        <w:t xml:space="preserve"> на Великобритания</w:t>
      </w:r>
      <w:r w:rsidRPr="00083221">
        <w:rPr>
          <w:rStyle w:val="normaltextrun"/>
          <w:szCs w:val="22"/>
        </w:rPr>
        <w:t> </w:t>
      </w:r>
      <w:r w:rsidRPr="00083221">
        <w:rPr>
          <w:rStyle w:val="normaltextrun"/>
          <w:szCs w:val="22"/>
          <w:lang w:val="bg-BG"/>
        </w:rPr>
        <w:t>показ</w:t>
      </w:r>
      <w:r w:rsidR="00083221">
        <w:rPr>
          <w:rStyle w:val="normaltextrun"/>
          <w:szCs w:val="22"/>
          <w:lang w:val="bg-BG"/>
        </w:rPr>
        <w:t>в</w:t>
      </w:r>
      <w:r w:rsidRPr="00083221">
        <w:rPr>
          <w:rStyle w:val="normaltextrun"/>
          <w:szCs w:val="22"/>
          <w:lang w:val="bg-BG"/>
        </w:rPr>
        <w:t xml:space="preserve">а 0,2% </w:t>
      </w:r>
      <w:r w:rsidR="00083221">
        <w:rPr>
          <w:rStyle w:val="normaltextrun"/>
          <w:szCs w:val="22"/>
          <w:lang w:val="bg-BG"/>
        </w:rPr>
        <w:t>честота на БТЕ</w:t>
      </w:r>
      <w:r w:rsidRPr="00083221">
        <w:rPr>
          <w:rStyle w:val="normaltextrun"/>
          <w:szCs w:val="22"/>
          <w:lang w:val="bg-BG"/>
        </w:rPr>
        <w:t>.</w:t>
      </w:r>
      <w:r w:rsidR="00083221">
        <w:rPr>
          <w:rStyle w:val="normaltextrun"/>
          <w:szCs w:val="22"/>
          <w:lang w:val="bg-BG"/>
        </w:rPr>
        <w:t xml:space="preserve"> В още едно кохортно проучване при</w:t>
      </w:r>
      <w:r w:rsidRPr="00083221">
        <w:rPr>
          <w:rStyle w:val="normaltextrun"/>
          <w:szCs w:val="22"/>
          <w:lang w:val="bg-BG"/>
        </w:rPr>
        <w:t xml:space="preserve"> 2574 пациенти </w:t>
      </w:r>
      <w:r w:rsidR="00083221">
        <w:rPr>
          <w:rStyle w:val="normaltextrun"/>
          <w:szCs w:val="22"/>
          <w:lang w:val="bg-BG"/>
        </w:rPr>
        <w:t xml:space="preserve">е установена честота от </w:t>
      </w:r>
      <w:r w:rsidRPr="00083221">
        <w:rPr>
          <w:rStyle w:val="normaltextrun"/>
          <w:szCs w:val="22"/>
          <w:lang w:val="bg-BG"/>
        </w:rPr>
        <w:t>0,51% (95% CI 0</w:t>
      </w:r>
      <w:r w:rsidR="00083221">
        <w:rPr>
          <w:rStyle w:val="normaltextrun"/>
          <w:szCs w:val="22"/>
          <w:lang w:val="bg-BG"/>
        </w:rPr>
        <w:t>,</w:t>
      </w:r>
      <w:r w:rsidRPr="00083221">
        <w:rPr>
          <w:rStyle w:val="normaltextrun"/>
          <w:szCs w:val="22"/>
          <w:lang w:val="bg-BG"/>
        </w:rPr>
        <w:t>23-0</w:t>
      </w:r>
      <w:r w:rsidR="00083221">
        <w:rPr>
          <w:rStyle w:val="normaltextrun"/>
          <w:szCs w:val="22"/>
          <w:lang w:val="bg-BG"/>
        </w:rPr>
        <w:t>,</w:t>
      </w:r>
      <w:r w:rsidRPr="00083221">
        <w:rPr>
          <w:rStyle w:val="normaltextrun"/>
          <w:szCs w:val="22"/>
          <w:lang w:val="bg-BG"/>
        </w:rPr>
        <w:t xml:space="preserve">78) </w:t>
      </w:r>
      <w:r w:rsidR="00083221">
        <w:rPr>
          <w:rStyle w:val="normaltextrun"/>
          <w:szCs w:val="22"/>
          <w:lang w:val="bg-BG"/>
        </w:rPr>
        <w:t xml:space="preserve">на ДВТ и </w:t>
      </w:r>
      <w:r w:rsidRPr="00083221">
        <w:rPr>
          <w:rStyle w:val="normaltextrun"/>
          <w:szCs w:val="22"/>
          <w:lang w:val="bg-BG"/>
        </w:rPr>
        <w:t xml:space="preserve">0,54% (95% CI 0,26-0,83) на </w:t>
      </w:r>
      <w:r w:rsidR="00083221">
        <w:rPr>
          <w:rStyle w:val="normaltextrun"/>
          <w:szCs w:val="22"/>
          <w:lang w:val="bg-BG"/>
        </w:rPr>
        <w:t>БТЕ</w:t>
      </w:r>
      <w:r w:rsidRPr="00083221">
        <w:rPr>
          <w:rStyle w:val="normaltextrun"/>
          <w:szCs w:val="22"/>
          <w:lang w:val="bg-BG"/>
        </w:rPr>
        <w:t xml:space="preserve">. Според това изследване, рискът за ДВТ при артропластики след травма е двоен в сравнение с </w:t>
      </w:r>
      <w:r w:rsidR="00083221">
        <w:rPr>
          <w:rStyle w:val="normaltextrun"/>
          <w:szCs w:val="22"/>
          <w:lang w:val="bg-BG"/>
        </w:rPr>
        <w:t xml:space="preserve">плановите </w:t>
      </w:r>
      <w:r w:rsidRPr="00083221">
        <w:rPr>
          <w:rStyle w:val="normaltextrun"/>
          <w:szCs w:val="22"/>
          <w:lang w:val="bg-BG"/>
        </w:rPr>
        <w:t>операции (1,7% vs. 0,8%, p=0,055).</w:t>
      </w:r>
    </w:p>
    <w:p w:rsidR="000F5426" w:rsidRPr="00083221" w:rsidRDefault="000F5426" w:rsidP="00276280">
      <w:pPr>
        <w:pStyle w:val="paragraph"/>
        <w:spacing w:before="0" w:beforeAutospacing="0" w:after="0" w:afterAutospacing="0"/>
        <w:ind w:firstLine="567"/>
        <w:textAlignment w:val="baseline"/>
        <w:rPr>
          <w:szCs w:val="22"/>
          <w:lang w:val="bg-BG"/>
        </w:rPr>
      </w:pPr>
      <w:r w:rsidRPr="00083221">
        <w:rPr>
          <w:rStyle w:val="normaltextrun"/>
          <w:szCs w:val="22"/>
          <w:lang w:val="bg-BG"/>
        </w:rPr>
        <w:t xml:space="preserve">В други проучвания като рискови фактори за ДВТ се идентифицират фрактури, напреднала възраст и </w:t>
      </w:r>
      <w:r w:rsidR="00083221" w:rsidRPr="00083221">
        <w:rPr>
          <w:rStyle w:val="normaltextrun"/>
          <w:szCs w:val="22"/>
          <w:lang w:val="bg-BG"/>
        </w:rPr>
        <w:t>придружаващо</w:t>
      </w:r>
      <w:r w:rsidRPr="00083221">
        <w:rPr>
          <w:rStyle w:val="normaltextrun"/>
          <w:szCs w:val="22"/>
          <w:lang w:val="bg-BG"/>
        </w:rPr>
        <w:t xml:space="preserve"> </w:t>
      </w:r>
      <w:r w:rsidR="00083221">
        <w:rPr>
          <w:rStyle w:val="normaltextrun"/>
          <w:szCs w:val="22"/>
          <w:lang w:val="bg-BG"/>
        </w:rPr>
        <w:t>злокачествено</w:t>
      </w:r>
      <w:r w:rsidRPr="00083221">
        <w:rPr>
          <w:rStyle w:val="normaltextrun"/>
          <w:szCs w:val="22"/>
          <w:lang w:val="bg-BG"/>
        </w:rPr>
        <w:t xml:space="preserve"> заболяване. </w:t>
      </w:r>
      <w:r w:rsidR="00083221">
        <w:rPr>
          <w:rStyle w:val="normaltextrun"/>
          <w:szCs w:val="22"/>
          <w:lang w:val="bg-BG"/>
        </w:rPr>
        <w:t xml:space="preserve">Честотата </w:t>
      </w:r>
      <w:r w:rsidRPr="00083221">
        <w:rPr>
          <w:rStyle w:val="normaltextrun"/>
          <w:szCs w:val="22"/>
          <w:lang w:val="bg-BG"/>
        </w:rPr>
        <w:t xml:space="preserve">на ДВТ при </w:t>
      </w:r>
      <w:r w:rsidR="00083221">
        <w:rPr>
          <w:rStyle w:val="normaltextrun"/>
          <w:szCs w:val="22"/>
          <w:lang w:val="bg-BG"/>
        </w:rPr>
        <w:t xml:space="preserve">фрактури на проксималния хумерус </w:t>
      </w:r>
      <w:r w:rsidRPr="00083221">
        <w:rPr>
          <w:rStyle w:val="normaltextrun"/>
          <w:szCs w:val="22"/>
          <w:lang w:val="bg-BG"/>
        </w:rPr>
        <w:t>се оценява меж</w:t>
      </w:r>
      <w:r w:rsidR="00083221">
        <w:rPr>
          <w:rStyle w:val="normaltextrun"/>
          <w:szCs w:val="22"/>
          <w:lang w:val="bg-BG"/>
        </w:rPr>
        <w:t>д</w:t>
      </w:r>
      <w:r w:rsidRPr="00083221">
        <w:rPr>
          <w:rStyle w:val="normaltextrun"/>
          <w:szCs w:val="22"/>
          <w:lang w:val="bg-BG"/>
        </w:rPr>
        <w:t xml:space="preserve">у 0,5% и 0,65%.  Процентът ДВТ след лакътно протезиране е между 0,26% и 0,29%. </w:t>
      </w:r>
      <w:r w:rsidR="00083221">
        <w:rPr>
          <w:rStyle w:val="normaltextrun"/>
          <w:szCs w:val="22"/>
          <w:lang w:val="bg-BG"/>
        </w:rPr>
        <w:t xml:space="preserve">Честотата на </w:t>
      </w:r>
      <w:r w:rsidRPr="00083221">
        <w:rPr>
          <w:rStyle w:val="normaltextrun"/>
          <w:szCs w:val="22"/>
          <w:lang w:val="bg-BG"/>
        </w:rPr>
        <w:t>ДВТ при артроскопски операции на раменната ст</w:t>
      </w:r>
      <w:r w:rsidR="00083221">
        <w:rPr>
          <w:rStyle w:val="normaltextrun"/>
          <w:szCs w:val="22"/>
          <w:lang w:val="bg-BG"/>
        </w:rPr>
        <w:t>а</w:t>
      </w:r>
      <w:r w:rsidRPr="00083221">
        <w:rPr>
          <w:rStyle w:val="normaltextrun"/>
          <w:szCs w:val="22"/>
          <w:lang w:val="bg-BG"/>
        </w:rPr>
        <w:t>ва в друго проучване</w:t>
      </w:r>
      <w:r w:rsidRPr="00083221">
        <w:rPr>
          <w:rStyle w:val="normaltextrun"/>
          <w:szCs w:val="22"/>
        </w:rPr>
        <w:t> </w:t>
      </w:r>
      <w:r w:rsidRPr="00083221">
        <w:rPr>
          <w:rStyle w:val="normaltextrun"/>
          <w:szCs w:val="22"/>
          <w:lang w:val="bg-BG"/>
        </w:rPr>
        <w:t> </w:t>
      </w:r>
      <w:r w:rsidR="00083221">
        <w:rPr>
          <w:rStyle w:val="normaltextrun"/>
          <w:szCs w:val="22"/>
          <w:lang w:val="bg-BG"/>
        </w:rPr>
        <w:t xml:space="preserve">е </w:t>
      </w:r>
      <w:r w:rsidRPr="00083221">
        <w:rPr>
          <w:rStyle w:val="normaltextrun"/>
          <w:szCs w:val="22"/>
          <w:lang w:val="bg-BG"/>
        </w:rPr>
        <w:t xml:space="preserve">0,038% (92 440 </w:t>
      </w:r>
      <w:r w:rsidR="00083221">
        <w:rPr>
          <w:rStyle w:val="normaltextrun"/>
          <w:szCs w:val="22"/>
          <w:lang w:val="bg-BG"/>
        </w:rPr>
        <w:t>артроскопии</w:t>
      </w:r>
      <w:r w:rsidRPr="00083221">
        <w:rPr>
          <w:rStyle w:val="normaltextrun"/>
          <w:szCs w:val="22"/>
          <w:lang w:val="bg-BG"/>
        </w:rPr>
        <w:t>).  Според базата данни на </w:t>
      </w:r>
      <w:r w:rsidRPr="00083221">
        <w:rPr>
          <w:rStyle w:val="normaltextrun"/>
          <w:szCs w:val="22"/>
          <w:lang w:val="de-DE"/>
        </w:rPr>
        <w:t>NHS</w:t>
      </w:r>
      <w:r w:rsidRPr="00083221">
        <w:rPr>
          <w:rStyle w:val="normaltextrun"/>
          <w:szCs w:val="22"/>
          <w:lang w:val="bg-BG"/>
        </w:rPr>
        <w:t>,</w:t>
      </w:r>
      <w:r w:rsidRPr="00083221">
        <w:rPr>
          <w:rStyle w:val="normaltextrun"/>
          <w:szCs w:val="22"/>
          <w:lang w:val="de-DE"/>
        </w:rPr>
        <w:t> </w:t>
      </w:r>
      <w:r w:rsidRPr="00083221">
        <w:rPr>
          <w:rStyle w:val="normaltextrun"/>
          <w:szCs w:val="22"/>
          <w:lang w:val="bg-BG"/>
        </w:rPr>
        <w:t xml:space="preserve"> тези </w:t>
      </w:r>
      <w:r w:rsidR="00083221">
        <w:rPr>
          <w:rStyle w:val="normaltextrun"/>
          <w:szCs w:val="22"/>
          <w:lang w:val="bg-BG"/>
        </w:rPr>
        <w:t>честота</w:t>
      </w:r>
      <w:r w:rsidRPr="00083221">
        <w:rPr>
          <w:rStyle w:val="normaltextrun"/>
          <w:szCs w:val="22"/>
          <w:lang w:val="bg-BG"/>
        </w:rPr>
        <w:t xml:space="preserve"> е дори по-ниска ( &lt;0,01%).</w:t>
      </w:r>
    </w:p>
    <w:p w:rsidR="000F5426" w:rsidRPr="00083221" w:rsidRDefault="000F5426" w:rsidP="00276280">
      <w:pPr>
        <w:pStyle w:val="paragraph"/>
        <w:spacing w:before="0" w:beforeAutospacing="0" w:after="0" w:afterAutospacing="0"/>
        <w:ind w:firstLine="567"/>
        <w:textAlignment w:val="baseline"/>
        <w:rPr>
          <w:szCs w:val="22"/>
          <w:lang w:val="bg-BG"/>
        </w:rPr>
      </w:pPr>
      <w:r w:rsidRPr="00083221">
        <w:rPr>
          <w:rStyle w:val="normaltextrun"/>
          <w:szCs w:val="22"/>
          <w:lang w:val="bg-BG"/>
        </w:rPr>
        <w:t xml:space="preserve">Проучвания във връзка с </w:t>
      </w:r>
      <w:r w:rsidR="00083221">
        <w:rPr>
          <w:rStyle w:val="normaltextrun"/>
          <w:szCs w:val="22"/>
          <w:lang w:val="bg-BG"/>
        </w:rPr>
        <w:t xml:space="preserve">ползите от </w:t>
      </w:r>
      <w:r w:rsidRPr="00083221">
        <w:rPr>
          <w:rStyle w:val="normaltextrun"/>
          <w:szCs w:val="22"/>
          <w:lang w:val="bg-BG"/>
        </w:rPr>
        <w:t>провеждане</w:t>
      </w:r>
      <w:r w:rsidR="00083221">
        <w:rPr>
          <w:rStyle w:val="normaltextrun"/>
          <w:szCs w:val="22"/>
          <w:lang w:val="bg-BG"/>
        </w:rPr>
        <w:t>то</w:t>
      </w:r>
      <w:r w:rsidRPr="00083221">
        <w:rPr>
          <w:rStyle w:val="normaltextrun"/>
          <w:szCs w:val="22"/>
          <w:lang w:val="bg-BG"/>
        </w:rPr>
        <w:t xml:space="preserve"> на антитромботична профилактика спрямо нейните недостатъци </w:t>
      </w:r>
      <w:r w:rsidR="00083221">
        <w:rPr>
          <w:rStyle w:val="normaltextrun"/>
          <w:szCs w:val="22"/>
          <w:lang w:val="bg-BG"/>
        </w:rPr>
        <w:t xml:space="preserve">засега </w:t>
      </w:r>
      <w:r w:rsidRPr="00083221">
        <w:rPr>
          <w:rStyle w:val="normaltextrun"/>
          <w:szCs w:val="22"/>
          <w:lang w:val="bg-BG"/>
        </w:rPr>
        <w:t xml:space="preserve">няма.  </w:t>
      </w:r>
      <w:r w:rsidR="00083221">
        <w:rPr>
          <w:rStyle w:val="normaltextrun"/>
          <w:szCs w:val="22"/>
          <w:lang w:val="bg-BG"/>
        </w:rPr>
        <w:t xml:space="preserve">Според наличната </w:t>
      </w:r>
      <w:r w:rsidR="00727CBA">
        <w:rPr>
          <w:rStyle w:val="normaltextrun"/>
          <w:szCs w:val="22"/>
          <w:lang w:val="bg-BG"/>
        </w:rPr>
        <w:t xml:space="preserve">към момента </w:t>
      </w:r>
      <w:r w:rsidR="00083221">
        <w:rPr>
          <w:rStyle w:val="normaltextrun"/>
          <w:szCs w:val="22"/>
          <w:lang w:val="bg-BG"/>
        </w:rPr>
        <w:t xml:space="preserve">литература, </w:t>
      </w:r>
      <w:r w:rsidR="00083221" w:rsidRPr="00083221">
        <w:rPr>
          <w:rStyle w:val="normaltextrun"/>
          <w:b/>
          <w:i/>
          <w:szCs w:val="22"/>
          <w:lang w:val="bg-BG"/>
        </w:rPr>
        <w:t>п</w:t>
      </w:r>
      <w:r w:rsidR="00083221">
        <w:rPr>
          <w:rStyle w:val="normaltextrun"/>
          <w:b/>
          <w:i/>
          <w:szCs w:val="22"/>
          <w:lang w:val="bg-BG"/>
        </w:rPr>
        <w:t xml:space="preserve">ровеждане </w:t>
      </w:r>
      <w:r w:rsidRPr="00083221">
        <w:rPr>
          <w:rStyle w:val="normaltextrun"/>
          <w:b/>
          <w:i/>
          <w:szCs w:val="22"/>
          <w:lang w:val="bg-BG"/>
        </w:rPr>
        <w:t xml:space="preserve">на антитромботична профилактика отвъд базови мерки </w:t>
      </w:r>
      <w:r w:rsidR="00083221">
        <w:rPr>
          <w:rStyle w:val="normaltextrun"/>
          <w:b/>
          <w:i/>
          <w:szCs w:val="22"/>
          <w:lang w:val="bg-BG"/>
        </w:rPr>
        <w:t xml:space="preserve">- </w:t>
      </w:r>
      <w:r w:rsidRPr="00083221">
        <w:rPr>
          <w:rStyle w:val="normaltextrun"/>
          <w:b/>
          <w:i/>
          <w:szCs w:val="22"/>
          <w:lang w:val="bg-BG"/>
        </w:rPr>
        <w:t>например ранна мобилизация, не се налага.</w:t>
      </w:r>
      <w:r w:rsidRPr="00083221">
        <w:rPr>
          <w:rStyle w:val="normaltextrun"/>
          <w:b/>
          <w:szCs w:val="22"/>
          <w:lang w:val="bg-BG"/>
        </w:rPr>
        <w:t> </w:t>
      </w:r>
      <w:r w:rsidRPr="00083221">
        <w:rPr>
          <w:rStyle w:val="normaltextrun"/>
          <w:szCs w:val="22"/>
          <w:lang w:val="bg-BG"/>
        </w:rPr>
        <w:t xml:space="preserve"> При пациенти с рамен</w:t>
      </w:r>
      <w:r w:rsidR="00083221">
        <w:rPr>
          <w:rStyle w:val="normaltextrun"/>
          <w:szCs w:val="22"/>
          <w:lang w:val="bg-BG"/>
        </w:rPr>
        <w:t>н</w:t>
      </w:r>
      <w:r w:rsidRPr="00083221">
        <w:rPr>
          <w:rStyle w:val="normaltextrun"/>
          <w:szCs w:val="22"/>
          <w:lang w:val="bg-BG"/>
        </w:rPr>
        <w:t xml:space="preserve">о протезиране медикаментозна профилактика може да се </w:t>
      </w:r>
      <w:r w:rsidR="00727CBA">
        <w:rPr>
          <w:rStyle w:val="normaltextrun"/>
          <w:szCs w:val="22"/>
          <w:lang w:val="bg-BG"/>
        </w:rPr>
        <w:t xml:space="preserve">има </w:t>
      </w:r>
      <w:r w:rsidRPr="00083221">
        <w:rPr>
          <w:rStyle w:val="normaltextrun"/>
          <w:szCs w:val="22"/>
          <w:lang w:val="bg-BG"/>
        </w:rPr>
        <w:t>предвид при наличието на допълнителни риско</w:t>
      </w:r>
      <w:r w:rsidR="005771B3" w:rsidRPr="00083221">
        <w:rPr>
          <w:rStyle w:val="normaltextrun"/>
          <w:szCs w:val="22"/>
          <w:lang w:val="bg-BG"/>
        </w:rPr>
        <w:t xml:space="preserve">ви фактори като например: </w:t>
      </w:r>
      <w:r w:rsidR="00727CBA">
        <w:rPr>
          <w:rStyle w:val="normaltextrun"/>
          <w:szCs w:val="22"/>
          <w:lang w:val="bg-BG"/>
        </w:rPr>
        <w:t>злокачествено заболяване</w:t>
      </w:r>
      <w:r w:rsidRPr="00083221">
        <w:rPr>
          <w:rStyle w:val="normaltextrun"/>
          <w:szCs w:val="22"/>
          <w:lang w:val="bg-BG"/>
        </w:rPr>
        <w:t>, напреднала възраст</w:t>
      </w:r>
      <w:r w:rsidR="005771B3" w:rsidRPr="00083221">
        <w:rPr>
          <w:rStyle w:val="normaltextrun"/>
          <w:szCs w:val="22"/>
          <w:lang w:val="bg-BG"/>
        </w:rPr>
        <w:t>, травма</w:t>
      </w:r>
      <w:r w:rsidRPr="00083221">
        <w:rPr>
          <w:rStyle w:val="normaltextrun"/>
          <w:szCs w:val="22"/>
          <w:lang w:val="bg-BG"/>
        </w:rPr>
        <w:t xml:space="preserve"> и т</w:t>
      </w:r>
      <w:r w:rsidR="00083221">
        <w:rPr>
          <w:rStyle w:val="normaltextrun"/>
          <w:szCs w:val="22"/>
        </w:rPr>
        <w:t>.</w:t>
      </w:r>
      <w:r w:rsidRPr="00083221">
        <w:rPr>
          <w:rStyle w:val="normaltextrun"/>
          <w:szCs w:val="22"/>
          <w:lang w:val="bg-BG"/>
        </w:rPr>
        <w:t>н.</w:t>
      </w:r>
    </w:p>
    <w:p w:rsidR="008A665D" w:rsidRPr="000F5426" w:rsidRDefault="008A665D" w:rsidP="00276280">
      <w:pPr>
        <w:spacing w:after="0" w:line="240" w:lineRule="auto"/>
        <w:ind w:firstLine="567"/>
        <w:rPr>
          <w:rFonts w:ascii="Times New Roman" w:hAnsi="Times New Roman" w:cs="Times New Roman"/>
          <w:b/>
          <w:i/>
          <w:sz w:val="24"/>
          <w:lang w:val="bg-BG"/>
        </w:rPr>
      </w:pPr>
      <w:r w:rsidRPr="000F5426">
        <w:rPr>
          <w:rFonts w:ascii="Times New Roman" w:hAnsi="Times New Roman" w:cs="Times New Roman"/>
          <w:b/>
          <w:i/>
          <w:sz w:val="24"/>
          <w:lang w:val="bg-BG"/>
        </w:rPr>
        <w:t>Според препоръките на NICE, профилактика на ВТЕ при пациенти след операции на горен крайник може да влиза в съображение при продължителност на анестезията над 90 минути и/или при пациенти, при които мобилизацията е затруднена. При пациентите с операции на горен крайник под локална или регионална анестезия NICE не препоръчва профилактика на ВТЕ.</w:t>
      </w:r>
      <w:r w:rsidR="00871E2F" w:rsidRPr="000F5426">
        <w:rPr>
          <w:rFonts w:ascii="Times New Roman" w:hAnsi="Times New Roman" w:cs="Times New Roman"/>
          <w:b/>
          <w:i/>
          <w:sz w:val="24"/>
          <w:vertAlign w:val="superscript"/>
          <w:lang w:val="bg-BG"/>
        </w:rPr>
        <w:t>70</w:t>
      </w:r>
    </w:p>
    <w:p w:rsidR="00871E2F" w:rsidRPr="004008DE" w:rsidRDefault="00871E2F" w:rsidP="00276280">
      <w:pPr>
        <w:spacing w:after="0" w:line="240" w:lineRule="auto"/>
        <w:rPr>
          <w:rFonts w:ascii="Times New Roman" w:hAnsi="Times New Roman" w:cs="Times New Roman"/>
          <w:sz w:val="24"/>
          <w:lang w:val="bg-BG"/>
        </w:rPr>
      </w:pPr>
    </w:p>
    <w:p w:rsidR="00871E2F"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871E2F" w:rsidRPr="004008DE">
        <w:rPr>
          <w:rFonts w:ascii="Times New Roman" w:hAnsi="Times New Roman" w:cs="Times New Roman"/>
          <w:sz w:val="24"/>
          <w:lang w:val="bg-BG"/>
        </w:rPr>
        <w:t xml:space="preserve"> следните режими за профилактика:</w:t>
      </w:r>
    </w:p>
    <w:p w:rsidR="00871E2F" w:rsidRPr="004008DE" w:rsidRDefault="00871E2F" w:rsidP="00276280">
      <w:pPr>
        <w:spacing w:after="0" w:line="240" w:lineRule="auto"/>
        <w:rPr>
          <w:rFonts w:ascii="Times New Roman" w:hAnsi="Times New Roman" w:cs="Times New Roman"/>
          <w:sz w:val="24"/>
          <w:lang w:val="bg-BG"/>
        </w:rPr>
      </w:pPr>
    </w:p>
    <w:p w:rsidR="00871E2F" w:rsidRPr="004008DE" w:rsidRDefault="00871E2F" w:rsidP="00276280">
      <w:pPr>
        <w:pStyle w:val="ListParagraph"/>
        <w:numPr>
          <w:ilvl w:val="0"/>
          <w:numId w:val="1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Без профилактика на ВТЕ при пациенти след операции на горен крайник под локална или регионална/проводна анестезия.</w:t>
      </w:r>
    </w:p>
    <w:p w:rsidR="00871E2F" w:rsidRPr="004008DE" w:rsidRDefault="00871E2F" w:rsidP="00276280">
      <w:pPr>
        <w:pStyle w:val="ListParagraph"/>
        <w:numPr>
          <w:ilvl w:val="0"/>
          <w:numId w:val="1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Без профилактика на ВТЕ при пациенти след операция на горен крайник, включително раменно ендопротезиране</w:t>
      </w:r>
      <w:r w:rsidR="000F5426">
        <w:rPr>
          <w:rFonts w:ascii="Times New Roman" w:hAnsi="Times New Roman" w:cs="Times New Roman"/>
          <w:sz w:val="24"/>
          <w:lang w:val="bg-BG"/>
        </w:rPr>
        <w:t>, лакътно протезиране</w:t>
      </w:r>
      <w:r w:rsidRPr="004008DE">
        <w:rPr>
          <w:rFonts w:ascii="Times New Roman" w:hAnsi="Times New Roman" w:cs="Times New Roman"/>
          <w:sz w:val="24"/>
          <w:lang w:val="bg-BG"/>
        </w:rPr>
        <w:t xml:space="preserve"> и раменна артроскопия</w:t>
      </w:r>
      <w:r w:rsidR="000F5426">
        <w:rPr>
          <w:rFonts w:ascii="Times New Roman" w:hAnsi="Times New Roman" w:cs="Times New Roman"/>
          <w:sz w:val="24"/>
          <w:lang w:val="bg-BG"/>
        </w:rPr>
        <w:t xml:space="preserve"> и лакътна артроскопия</w:t>
      </w:r>
      <w:r w:rsidRPr="004008DE">
        <w:rPr>
          <w:rFonts w:ascii="Times New Roman" w:hAnsi="Times New Roman" w:cs="Times New Roman"/>
          <w:sz w:val="24"/>
          <w:lang w:val="bg-BG"/>
        </w:rPr>
        <w:t>, под инхалаторна анестезия с продължителност под 90 минути.</w:t>
      </w:r>
    </w:p>
    <w:p w:rsidR="00026873" w:rsidRPr="004008DE" w:rsidRDefault="00871E2F" w:rsidP="00276280">
      <w:pPr>
        <w:pStyle w:val="ListParagraph"/>
        <w:numPr>
          <w:ilvl w:val="0"/>
          <w:numId w:val="1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При нискорискови за ВТЕ пациенти (Padua Prediction Score </w:t>
      </w:r>
      <w:r w:rsidR="004E72F1">
        <w:rPr>
          <w:rFonts w:ascii="Times New Roman" w:hAnsi="Times New Roman" w:cs="Times New Roman"/>
          <w:sz w:val="24"/>
          <w:lang w:val="bg-BG"/>
        </w:rPr>
        <w:t>&lt;4 т.</w:t>
      </w:r>
      <w:r w:rsidRPr="004008DE">
        <w:rPr>
          <w:rFonts w:ascii="Times New Roman" w:hAnsi="Times New Roman" w:cs="Times New Roman"/>
          <w:sz w:val="24"/>
          <w:lang w:val="bg-BG"/>
        </w:rPr>
        <w:t xml:space="preserve">) след операции на горния крайник, включително раменно ендопротезиране и раменна артроскопия, по преценка на оператора може да се провежда профилактика за 10 дни с ацетилсалицилова </w:t>
      </w:r>
      <w:r w:rsidR="00C84554" w:rsidRPr="004008DE">
        <w:rPr>
          <w:rFonts w:ascii="Times New Roman" w:hAnsi="Times New Roman" w:cs="Times New Roman"/>
          <w:sz w:val="24"/>
          <w:lang w:val="bg-BG"/>
        </w:rPr>
        <w:t>киселина</w:t>
      </w:r>
      <w:r w:rsidRPr="004008DE">
        <w:rPr>
          <w:rFonts w:ascii="Times New Roman" w:hAnsi="Times New Roman" w:cs="Times New Roman"/>
          <w:sz w:val="24"/>
          <w:lang w:val="bg-BG"/>
        </w:rPr>
        <w:t xml:space="preserve"> (ASA, аспирин) в доза 100 mg/24, като първата доза се прилага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p>
    <w:p w:rsidR="00871E2F" w:rsidRPr="004E72F1" w:rsidRDefault="00871E2F" w:rsidP="00276280">
      <w:pPr>
        <w:pStyle w:val="ListParagraph"/>
        <w:numPr>
          <w:ilvl w:val="0"/>
          <w:numId w:val="1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При високорискови за ВТЕ пациенти (Padua Prediction Score ≥ 4 т) след операции на горния крайник, включително раменно ендопротезиране</w:t>
      </w:r>
      <w:r w:rsidR="000F5426">
        <w:rPr>
          <w:rFonts w:ascii="Times New Roman" w:hAnsi="Times New Roman" w:cs="Times New Roman"/>
          <w:sz w:val="24"/>
          <w:lang w:val="bg-BG"/>
        </w:rPr>
        <w:t>, лакътно протезиране</w:t>
      </w:r>
      <w:r w:rsidRPr="004008DE">
        <w:rPr>
          <w:rFonts w:ascii="Times New Roman" w:hAnsi="Times New Roman" w:cs="Times New Roman"/>
          <w:sz w:val="24"/>
          <w:lang w:val="bg-BG"/>
        </w:rPr>
        <w:t xml:space="preserve"> и раменна </w:t>
      </w:r>
      <w:r w:rsidR="000F5426">
        <w:rPr>
          <w:rFonts w:ascii="Times New Roman" w:hAnsi="Times New Roman" w:cs="Times New Roman"/>
          <w:sz w:val="24"/>
          <w:lang w:val="bg-BG"/>
        </w:rPr>
        <w:t xml:space="preserve">и лакътна </w:t>
      </w:r>
      <w:r w:rsidRPr="004008DE">
        <w:rPr>
          <w:rFonts w:ascii="Times New Roman" w:hAnsi="Times New Roman" w:cs="Times New Roman"/>
          <w:sz w:val="24"/>
          <w:lang w:val="bg-BG"/>
        </w:rPr>
        <w:t xml:space="preserve">артроскопия, </w:t>
      </w:r>
      <w:r w:rsidR="004B5C47" w:rsidRPr="004E72F1">
        <w:rPr>
          <w:rFonts w:ascii="Times New Roman" w:hAnsi="Times New Roman" w:cs="Times New Roman"/>
          <w:sz w:val="24"/>
          <w:lang w:val="bg-BG"/>
        </w:rPr>
        <w:t>операции на лопатката и ключицата при наличие на белодробна травма</w:t>
      </w:r>
      <w:r w:rsidR="004E72F1">
        <w:rPr>
          <w:rFonts w:ascii="Times New Roman" w:hAnsi="Times New Roman" w:cs="Times New Roman"/>
          <w:sz w:val="24"/>
          <w:lang w:val="bg-BG"/>
        </w:rPr>
        <w:t>,</w:t>
      </w:r>
      <w:r w:rsidR="004B5C47" w:rsidRPr="004E72F1">
        <w:rPr>
          <w:rFonts w:ascii="Times New Roman" w:hAnsi="Times New Roman" w:cs="Times New Roman"/>
          <w:sz w:val="24"/>
          <w:lang w:val="bg-BG"/>
        </w:rPr>
        <w:t xml:space="preserve"> </w:t>
      </w:r>
      <w:r w:rsidRPr="004E72F1">
        <w:rPr>
          <w:rFonts w:ascii="Times New Roman" w:hAnsi="Times New Roman" w:cs="Times New Roman"/>
          <w:sz w:val="24"/>
          <w:lang w:val="bg-BG"/>
        </w:rPr>
        <w:t>п</w:t>
      </w:r>
      <w:r w:rsidRPr="004008DE">
        <w:rPr>
          <w:rFonts w:ascii="Times New Roman" w:hAnsi="Times New Roman" w:cs="Times New Roman"/>
          <w:sz w:val="24"/>
          <w:lang w:val="bg-BG"/>
        </w:rPr>
        <w:t>о преценка на оператора може да се провежда профилактика за 10</w:t>
      </w:r>
      <w:r w:rsidR="004B5C47">
        <w:rPr>
          <w:rFonts w:ascii="Times New Roman" w:hAnsi="Times New Roman" w:cs="Times New Roman"/>
          <w:sz w:val="24"/>
          <w:lang w:val="bg-BG"/>
        </w:rPr>
        <w:t>-14</w:t>
      </w:r>
      <w:r w:rsidRPr="004008DE">
        <w:rPr>
          <w:rFonts w:ascii="Times New Roman" w:hAnsi="Times New Roman" w:cs="Times New Roman"/>
          <w:sz w:val="24"/>
          <w:lang w:val="bg-BG"/>
        </w:rPr>
        <w:t xml:space="preserve"> дни с 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xml:space="preserve">; Фраксипарин 0,2 ml/24 часа при телесно тегло под 50 кг, 0,3 ml/24 часа при телесно тегло 50-69 кг, 0,4 ml/24 часа </w:t>
      </w:r>
      <w:r w:rsidRPr="004008DE">
        <w:rPr>
          <w:rFonts w:ascii="Times New Roman" w:hAnsi="Times New Roman" w:cs="Times New Roman"/>
          <w:sz w:val="24"/>
          <w:lang w:val="bg-BG"/>
        </w:rPr>
        <w:lastRenderedPageBreak/>
        <w:t>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като първата доза се прилага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0F542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r w:rsidR="00026873" w:rsidRPr="004008DE">
        <w:rPr>
          <w:rFonts w:ascii="Times New Roman" w:hAnsi="Times New Roman" w:cs="Times New Roman"/>
          <w:sz w:val="24"/>
          <w:lang w:val="bg-BG"/>
        </w:rPr>
        <w:t xml:space="preserve"> </w:t>
      </w:r>
      <w:r w:rsidR="00026873" w:rsidRPr="004E72F1">
        <w:rPr>
          <w:rFonts w:ascii="Times New Roman" w:hAnsi="Times New Roman" w:cs="Times New Roman"/>
          <w:sz w:val="24"/>
          <w:lang w:val="bg-BG"/>
        </w:rPr>
        <w:t>(</w:t>
      </w:r>
      <w:r w:rsidR="00026873" w:rsidRPr="004E72F1">
        <w:rPr>
          <w:rFonts w:ascii="Times New Roman" w:hAnsi="Times New Roman" w:cs="Times New Roman"/>
          <w:b/>
          <w:i/>
          <w:sz w:val="24"/>
          <w:lang w:val="bg-BG"/>
        </w:rPr>
        <w:t>Арикстра е регистриран само за профилактика при операции на долен крайник)</w:t>
      </w:r>
    </w:p>
    <w:p w:rsidR="00982DC8" w:rsidRPr="004008DE" w:rsidRDefault="00982DC8" w:rsidP="00276280">
      <w:pPr>
        <w:spacing w:after="0" w:line="240" w:lineRule="auto"/>
        <w:rPr>
          <w:rFonts w:ascii="Times New Roman" w:hAnsi="Times New Roman" w:cs="Times New Roman"/>
          <w:sz w:val="24"/>
          <w:lang w:val="bg-BG"/>
        </w:rPr>
      </w:pPr>
    </w:p>
    <w:p w:rsidR="00982DC8" w:rsidRPr="00DA0BF0" w:rsidRDefault="0082414C" w:rsidP="00276280">
      <w:pPr>
        <w:pStyle w:val="ListParagraph"/>
        <w:spacing w:after="0" w:line="240" w:lineRule="auto"/>
        <w:ind w:left="0" w:firstLine="567"/>
        <w:rPr>
          <w:rFonts w:ascii="Times New Roman" w:hAnsi="Times New Roman" w:cs="Times New Roman"/>
          <w:sz w:val="24"/>
          <w:u w:val="single"/>
          <w:lang w:val="bg-BG"/>
        </w:rPr>
      </w:pPr>
      <w:r w:rsidRPr="00DA0BF0">
        <w:rPr>
          <w:rFonts w:ascii="Times New Roman" w:hAnsi="Times New Roman" w:cs="Times New Roman"/>
          <w:sz w:val="24"/>
          <w:u w:val="single"/>
          <w:lang w:val="en-US"/>
        </w:rPr>
        <w:t>4.</w:t>
      </w:r>
      <w:r w:rsidR="00DA0BF0" w:rsidRPr="00DA0BF0">
        <w:rPr>
          <w:rFonts w:ascii="Times New Roman" w:hAnsi="Times New Roman" w:cs="Times New Roman"/>
          <w:sz w:val="24"/>
          <w:u w:val="single"/>
          <w:lang w:val="en-US"/>
        </w:rPr>
        <w:t xml:space="preserve">5 </w:t>
      </w:r>
      <w:r w:rsidR="00982DC8" w:rsidRPr="00DA0BF0">
        <w:rPr>
          <w:rFonts w:ascii="Times New Roman" w:hAnsi="Times New Roman" w:cs="Times New Roman"/>
          <w:sz w:val="24"/>
          <w:u w:val="single"/>
          <w:lang w:val="bg-BG"/>
        </w:rPr>
        <w:t>Гръбначни операции</w:t>
      </w:r>
    </w:p>
    <w:p w:rsidR="00611F46" w:rsidRPr="004008DE" w:rsidRDefault="00611F46" w:rsidP="00276280">
      <w:pPr>
        <w:spacing w:after="0" w:line="240" w:lineRule="auto"/>
        <w:rPr>
          <w:rFonts w:ascii="Times New Roman" w:hAnsi="Times New Roman" w:cs="Times New Roman"/>
          <w:sz w:val="24"/>
          <w:lang w:val="bg-BG"/>
        </w:rPr>
      </w:pPr>
    </w:p>
    <w:p w:rsidR="00611F46" w:rsidRPr="004008DE" w:rsidRDefault="00611F46"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При пациенти след планови ортопедични операции без рискови фактори за ВТЕ, консенсусът на ACCP от 2008 г.</w:t>
      </w:r>
      <w:r w:rsidRPr="004008DE">
        <w:rPr>
          <w:rFonts w:ascii="Times New Roman" w:hAnsi="Times New Roman" w:cs="Times New Roman"/>
          <w:sz w:val="24"/>
          <w:vertAlign w:val="superscript"/>
          <w:lang w:val="bg-BG"/>
        </w:rPr>
        <w:t>41</w:t>
      </w:r>
      <w:r w:rsidRPr="004008DE">
        <w:rPr>
          <w:rFonts w:ascii="Times New Roman" w:hAnsi="Times New Roman" w:cs="Times New Roman"/>
          <w:sz w:val="24"/>
          <w:lang w:val="bg-BG"/>
        </w:rPr>
        <w:t xml:space="preserve"> не препоръчва тромбопрофилактика, различна от ранна мобилизация. При пациенти с допълнителни рискови фактори като напреднала възраст, злокачествени заболявания, неврологичен дефицит, анамнеза за ВТЕ или преден достъп, препоръчва профилактика с нефракциониран хепарин в ниска доза или нискомолекулен хепарин. </w:t>
      </w:r>
    </w:p>
    <w:p w:rsidR="00611F46" w:rsidRPr="004008DE" w:rsidRDefault="00611F46" w:rsidP="00276280">
      <w:pPr>
        <w:spacing w:after="0" w:line="240" w:lineRule="auto"/>
        <w:rPr>
          <w:rFonts w:ascii="Times New Roman" w:hAnsi="Times New Roman" w:cs="Times New Roman"/>
          <w:sz w:val="24"/>
          <w:lang w:val="bg-BG"/>
        </w:rPr>
      </w:pPr>
    </w:p>
    <w:p w:rsidR="00611F46"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611F46" w:rsidRPr="004008DE">
        <w:rPr>
          <w:rFonts w:ascii="Times New Roman" w:hAnsi="Times New Roman" w:cs="Times New Roman"/>
          <w:sz w:val="24"/>
          <w:lang w:val="bg-BG"/>
        </w:rPr>
        <w:t xml:space="preserve"> следните режими за профилактика:</w:t>
      </w:r>
    </w:p>
    <w:p w:rsidR="00611F46" w:rsidRPr="004008DE" w:rsidRDefault="00611F46" w:rsidP="00276280">
      <w:pPr>
        <w:spacing w:after="0" w:line="240" w:lineRule="auto"/>
        <w:rPr>
          <w:rFonts w:ascii="Times New Roman" w:hAnsi="Times New Roman" w:cs="Times New Roman"/>
          <w:sz w:val="24"/>
          <w:lang w:val="bg-BG"/>
        </w:rPr>
      </w:pPr>
    </w:p>
    <w:p w:rsidR="00611F46" w:rsidRPr="00781C61" w:rsidRDefault="00611F46" w:rsidP="00276280">
      <w:pPr>
        <w:pStyle w:val="ListParagraph"/>
        <w:numPr>
          <w:ilvl w:val="0"/>
          <w:numId w:val="13"/>
        </w:numPr>
        <w:spacing w:after="0" w:line="240" w:lineRule="auto"/>
        <w:ind w:left="567" w:hanging="567"/>
        <w:rPr>
          <w:rFonts w:ascii="Times New Roman" w:hAnsi="Times New Roman" w:cs="Times New Roman"/>
          <w:sz w:val="24"/>
          <w:lang w:val="bg-BG"/>
        </w:rPr>
      </w:pPr>
      <w:r w:rsidRPr="00781C61">
        <w:rPr>
          <w:rFonts w:ascii="Times New Roman" w:hAnsi="Times New Roman" w:cs="Times New Roman"/>
          <w:sz w:val="24"/>
          <w:lang w:val="bg-BG"/>
        </w:rPr>
        <w:t xml:space="preserve">При нискорискови за ВТЕ пациенти (Padua Prediction Score </w:t>
      </w:r>
      <w:r w:rsidR="004E72F1" w:rsidRPr="00781C61">
        <w:rPr>
          <w:rFonts w:ascii="Times New Roman" w:hAnsi="Times New Roman" w:cs="Times New Roman"/>
          <w:sz w:val="24"/>
          <w:lang w:val="bg-BG"/>
        </w:rPr>
        <w:t>&lt;4 т.</w:t>
      </w:r>
      <w:r w:rsidRPr="00781C61">
        <w:rPr>
          <w:rFonts w:ascii="Times New Roman" w:hAnsi="Times New Roman" w:cs="Times New Roman"/>
          <w:sz w:val="24"/>
          <w:lang w:val="bg-BG"/>
        </w:rPr>
        <w:t xml:space="preserve">) след планови гръбначни операции, по преценка на оператора може да се провежда профилактика за 10 дни с ацетилсалицилова </w:t>
      </w:r>
      <w:r w:rsidR="00263AD9" w:rsidRPr="00781C61">
        <w:rPr>
          <w:rFonts w:ascii="Times New Roman" w:hAnsi="Times New Roman" w:cs="Times New Roman"/>
          <w:sz w:val="24"/>
          <w:lang w:val="bg-BG"/>
        </w:rPr>
        <w:t>киселина</w:t>
      </w:r>
      <w:r w:rsidRPr="00781C61">
        <w:rPr>
          <w:rFonts w:ascii="Times New Roman" w:hAnsi="Times New Roman" w:cs="Times New Roman"/>
          <w:sz w:val="24"/>
          <w:lang w:val="bg-BG"/>
        </w:rPr>
        <w:t xml:space="preserve"> (ASA, аспирин) в доза 100 mg/24, като първата доза се прилага </w:t>
      </w:r>
      <w:r w:rsidR="00B0724A" w:rsidRPr="00781C61">
        <w:rPr>
          <w:rFonts w:ascii="Times New Roman" w:hAnsi="Times New Roman" w:cs="Times New Roman"/>
          <w:sz w:val="24"/>
          <w:lang w:val="bg-BG"/>
        </w:rPr>
        <w:t xml:space="preserve">6-12 </w:t>
      </w:r>
      <w:r w:rsidRPr="00781C61">
        <w:rPr>
          <w:rFonts w:ascii="Times New Roman" w:hAnsi="Times New Roman" w:cs="Times New Roman"/>
          <w:sz w:val="24"/>
          <w:lang w:val="bg-BG"/>
        </w:rPr>
        <w:t xml:space="preserve"> часа преди оперативната интервенция, а </w:t>
      </w:r>
      <w:r w:rsidR="00B0724A" w:rsidRPr="00781C61">
        <w:rPr>
          <w:rFonts w:ascii="Times New Roman" w:hAnsi="Times New Roman" w:cs="Times New Roman"/>
          <w:sz w:val="24"/>
          <w:lang w:val="bg-BG"/>
        </w:rPr>
        <w:t xml:space="preserve">първата следоперативна доза –  </w:t>
      </w:r>
      <w:r w:rsidRPr="00781C61">
        <w:rPr>
          <w:rFonts w:ascii="Times New Roman" w:hAnsi="Times New Roman" w:cs="Times New Roman"/>
          <w:sz w:val="24"/>
          <w:lang w:val="bg-BG"/>
        </w:rPr>
        <w:t>6</w:t>
      </w:r>
      <w:r w:rsidR="00B0724A" w:rsidRPr="00781C61">
        <w:rPr>
          <w:rFonts w:ascii="Times New Roman" w:hAnsi="Times New Roman" w:cs="Times New Roman"/>
          <w:sz w:val="24"/>
          <w:lang w:val="bg-BG"/>
        </w:rPr>
        <w:t>-12</w:t>
      </w:r>
      <w:r w:rsidRPr="00781C61">
        <w:rPr>
          <w:rFonts w:ascii="Times New Roman" w:hAnsi="Times New Roman" w:cs="Times New Roman"/>
          <w:sz w:val="24"/>
          <w:lang w:val="bg-BG"/>
        </w:rPr>
        <w:t xml:space="preserve"> часа следоперативно.</w:t>
      </w:r>
    </w:p>
    <w:p w:rsidR="00611F46" w:rsidRPr="00781C61" w:rsidRDefault="00611F46" w:rsidP="00276280">
      <w:pPr>
        <w:pStyle w:val="ListParagraph"/>
        <w:numPr>
          <w:ilvl w:val="0"/>
          <w:numId w:val="13"/>
        </w:numPr>
        <w:spacing w:after="0" w:line="240" w:lineRule="auto"/>
        <w:ind w:left="567" w:hanging="567"/>
        <w:rPr>
          <w:rFonts w:ascii="Times New Roman" w:hAnsi="Times New Roman" w:cs="Times New Roman"/>
          <w:sz w:val="24"/>
          <w:lang w:val="bg-BG"/>
        </w:rPr>
      </w:pPr>
      <w:r w:rsidRPr="00781C61">
        <w:rPr>
          <w:rFonts w:ascii="Times New Roman" w:hAnsi="Times New Roman" w:cs="Times New Roman"/>
          <w:sz w:val="24"/>
          <w:lang w:val="bg-BG"/>
        </w:rPr>
        <w:t>При високорискови за ВТЕ пациенти (Padua Prediction Score ≥ 4 т) след планови гръбначни операци</w:t>
      </w:r>
      <w:r w:rsidR="00B0724A" w:rsidRPr="00781C61">
        <w:rPr>
          <w:rFonts w:ascii="Times New Roman" w:hAnsi="Times New Roman" w:cs="Times New Roman"/>
          <w:sz w:val="24"/>
          <w:lang w:val="bg-BG"/>
        </w:rPr>
        <w:t>и -  профилактика за 10-</w:t>
      </w:r>
      <w:r w:rsidRPr="00781C61">
        <w:rPr>
          <w:rFonts w:ascii="Times New Roman" w:hAnsi="Times New Roman" w:cs="Times New Roman"/>
          <w:sz w:val="24"/>
          <w:lang w:val="bg-BG"/>
        </w:rPr>
        <w:t xml:space="preserve">30 дни </w:t>
      </w:r>
      <w:r w:rsidR="00B0724A" w:rsidRPr="00781C61">
        <w:rPr>
          <w:rFonts w:ascii="Times New Roman" w:hAnsi="Times New Roman" w:cs="Times New Roman"/>
          <w:sz w:val="24"/>
          <w:lang w:val="bg-BG"/>
        </w:rPr>
        <w:t xml:space="preserve">(по преценка на оператора) </w:t>
      </w:r>
      <w:r w:rsidRPr="00781C61">
        <w:rPr>
          <w:rFonts w:ascii="Times New Roman" w:hAnsi="Times New Roman" w:cs="Times New Roman"/>
          <w:sz w:val="24"/>
          <w:lang w:val="bg-BG"/>
        </w:rPr>
        <w:t>с нискомолекулен хепарин в стандартна профилактична доза (Клексан 0,4 ml/24 часа</w:t>
      </w:r>
      <w:r w:rsidRPr="00781C61">
        <w:rPr>
          <w:rFonts w:ascii="Times New Roman" w:hAnsi="Times New Roman" w:cs="Times New Roman"/>
          <w:sz w:val="24"/>
          <w:vertAlign w:val="superscript"/>
          <w:lang w:val="bg-BG"/>
        </w:rPr>
        <w:t>64</w:t>
      </w:r>
      <w:r w:rsidRPr="00781C61">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781C61">
        <w:rPr>
          <w:rFonts w:ascii="Times New Roman" w:hAnsi="Times New Roman" w:cs="Times New Roman"/>
          <w:sz w:val="24"/>
          <w:vertAlign w:val="superscript"/>
          <w:lang w:val="bg-BG"/>
        </w:rPr>
        <w:t>62</w:t>
      </w:r>
      <w:r w:rsidRPr="00781C61">
        <w:rPr>
          <w:rFonts w:ascii="Times New Roman" w:hAnsi="Times New Roman" w:cs="Times New Roman"/>
          <w:sz w:val="24"/>
          <w:lang w:val="bg-BG"/>
        </w:rPr>
        <w:t xml:space="preserve">), като първата доза се прилага </w:t>
      </w:r>
      <w:r w:rsidR="00B0724A" w:rsidRPr="00781C61">
        <w:rPr>
          <w:rFonts w:ascii="Times New Roman" w:hAnsi="Times New Roman" w:cs="Times New Roman"/>
          <w:sz w:val="24"/>
          <w:lang w:val="bg-BG"/>
        </w:rPr>
        <w:t xml:space="preserve">6-12 </w:t>
      </w:r>
      <w:r w:rsidRPr="00781C61">
        <w:rPr>
          <w:rFonts w:ascii="Times New Roman" w:hAnsi="Times New Roman" w:cs="Times New Roman"/>
          <w:sz w:val="24"/>
          <w:lang w:val="bg-BG"/>
        </w:rPr>
        <w:t xml:space="preserve">часа преди оперативната интервенция, а първата следоперативна доза – </w:t>
      </w:r>
      <w:r w:rsidR="00B0724A" w:rsidRPr="00781C61">
        <w:rPr>
          <w:rFonts w:ascii="Times New Roman" w:hAnsi="Times New Roman" w:cs="Times New Roman"/>
          <w:sz w:val="24"/>
          <w:lang w:val="bg-BG"/>
        </w:rPr>
        <w:t xml:space="preserve">6-12 </w:t>
      </w:r>
      <w:r w:rsidRPr="00781C61">
        <w:rPr>
          <w:rFonts w:ascii="Times New Roman" w:hAnsi="Times New Roman" w:cs="Times New Roman"/>
          <w:sz w:val="24"/>
          <w:lang w:val="bg-BG"/>
        </w:rPr>
        <w:t xml:space="preserve"> часа следоперативно.</w:t>
      </w:r>
    </w:p>
    <w:p w:rsidR="00982DC8" w:rsidRPr="004008DE" w:rsidRDefault="00982DC8" w:rsidP="00276280">
      <w:pPr>
        <w:spacing w:after="0" w:line="240" w:lineRule="auto"/>
        <w:rPr>
          <w:rFonts w:ascii="Times New Roman" w:hAnsi="Times New Roman" w:cs="Times New Roman"/>
          <w:sz w:val="24"/>
          <w:lang w:val="bg-BG"/>
        </w:rPr>
      </w:pPr>
    </w:p>
    <w:p w:rsidR="00EC6B9E" w:rsidRPr="00DA0BF0" w:rsidRDefault="00DA0BF0" w:rsidP="00276280">
      <w:pPr>
        <w:spacing w:after="0" w:line="240" w:lineRule="auto"/>
        <w:ind w:firstLine="567"/>
        <w:rPr>
          <w:rFonts w:ascii="Times New Roman" w:hAnsi="Times New Roman" w:cs="Times New Roman"/>
          <w:sz w:val="24"/>
          <w:u w:val="single"/>
          <w:lang w:val="bg-BG"/>
        </w:rPr>
      </w:pPr>
      <w:r w:rsidRPr="00DA0BF0">
        <w:rPr>
          <w:rFonts w:ascii="Times New Roman" w:hAnsi="Times New Roman" w:cs="Times New Roman"/>
          <w:sz w:val="24"/>
          <w:u w:val="single"/>
          <w:lang w:val="en-US"/>
        </w:rPr>
        <w:t xml:space="preserve">4.6 </w:t>
      </w:r>
      <w:r w:rsidR="00982DC8" w:rsidRPr="00DA0BF0">
        <w:rPr>
          <w:rFonts w:ascii="Times New Roman" w:hAnsi="Times New Roman" w:cs="Times New Roman"/>
          <w:sz w:val="24"/>
          <w:u w:val="single"/>
          <w:lang w:val="bg-BG"/>
        </w:rPr>
        <w:t>Гръбначно-мозъчна травма</w:t>
      </w:r>
      <w:r w:rsidR="00E12254" w:rsidRPr="00DA0BF0">
        <w:rPr>
          <w:rFonts w:ascii="Times New Roman" w:hAnsi="Times New Roman" w:cs="Times New Roman"/>
          <w:sz w:val="24"/>
          <w:u w:val="single"/>
          <w:lang w:val="bg-BG"/>
        </w:rPr>
        <w:t xml:space="preserve"> </w:t>
      </w:r>
      <w:r w:rsidR="00781C61" w:rsidRPr="00DA0BF0">
        <w:rPr>
          <w:rFonts w:ascii="Times New Roman" w:hAnsi="Times New Roman" w:cs="Times New Roman"/>
          <w:sz w:val="24"/>
          <w:u w:val="single"/>
          <w:lang w:val="bg-BG"/>
        </w:rPr>
        <w:br/>
      </w:r>
    </w:p>
    <w:p w:rsidR="00001DE1" w:rsidRPr="004008DE" w:rsidRDefault="00EC6B9E"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При пациенти с гръбначно-мозъчна травма консенсусът на ACCP от 2008 г.</w:t>
      </w:r>
      <w:r w:rsidRPr="004008DE">
        <w:rPr>
          <w:rFonts w:ascii="Times New Roman" w:hAnsi="Times New Roman" w:cs="Times New Roman"/>
          <w:sz w:val="24"/>
          <w:vertAlign w:val="superscript"/>
          <w:lang w:val="bg-BG"/>
        </w:rPr>
        <w:t>41</w:t>
      </w:r>
      <w:r w:rsidRPr="004008DE">
        <w:rPr>
          <w:rFonts w:ascii="Times New Roman" w:hAnsi="Times New Roman" w:cs="Times New Roman"/>
          <w:sz w:val="24"/>
          <w:lang w:val="bg-BG"/>
        </w:rPr>
        <w:t xml:space="preserve"> препоръчва </w:t>
      </w:r>
      <w:r w:rsidR="00001DE1" w:rsidRPr="004008DE">
        <w:rPr>
          <w:rFonts w:ascii="Times New Roman" w:hAnsi="Times New Roman" w:cs="Times New Roman"/>
          <w:sz w:val="24"/>
          <w:lang w:val="bg-BG"/>
        </w:rPr>
        <w:t>профилактика на ВТЕ с нефракциониран хепарин в ниска доза или нискомолекулен хепарин, като профилактиката започва след установяване на хемостаза. При наличие на висок риск за прогресия на хеморагията се препоръчва механична профилактика с интермитентна пневматична компресия</w:t>
      </w:r>
      <w:r w:rsidR="00781C61">
        <w:rPr>
          <w:rFonts w:ascii="Times New Roman" w:hAnsi="Times New Roman" w:cs="Times New Roman"/>
          <w:sz w:val="24"/>
          <w:lang w:val="bg-BG"/>
        </w:rPr>
        <w:t>,</w:t>
      </w:r>
      <w:r w:rsidR="00001DE1" w:rsidRPr="004008DE">
        <w:rPr>
          <w:rFonts w:ascii="Times New Roman" w:hAnsi="Times New Roman" w:cs="Times New Roman"/>
          <w:sz w:val="24"/>
          <w:lang w:val="bg-BG"/>
        </w:rPr>
        <w:t xml:space="preserve"> като към профилактика с нискомолекулен хепарин се преминава след намаляване на риска за прогресия на хеморагията. </w:t>
      </w:r>
    </w:p>
    <w:p w:rsidR="00001DE1" w:rsidRPr="004008DE" w:rsidRDefault="00001DE1" w:rsidP="00276280">
      <w:pPr>
        <w:spacing w:after="0" w:line="240" w:lineRule="auto"/>
        <w:rPr>
          <w:rFonts w:ascii="Times New Roman" w:hAnsi="Times New Roman" w:cs="Times New Roman"/>
          <w:sz w:val="24"/>
          <w:lang w:val="bg-BG"/>
        </w:rPr>
      </w:pPr>
    </w:p>
    <w:p w:rsidR="00001DE1"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001DE1" w:rsidRPr="004008DE">
        <w:rPr>
          <w:rFonts w:ascii="Times New Roman" w:hAnsi="Times New Roman" w:cs="Times New Roman"/>
          <w:sz w:val="24"/>
          <w:lang w:val="bg-BG"/>
        </w:rPr>
        <w:t xml:space="preserve"> следните режими за профилактика:</w:t>
      </w:r>
    </w:p>
    <w:p w:rsidR="00001DE1" w:rsidRPr="004008DE" w:rsidRDefault="00001DE1" w:rsidP="00276280">
      <w:pPr>
        <w:spacing w:after="0" w:line="240" w:lineRule="auto"/>
        <w:rPr>
          <w:rFonts w:ascii="Times New Roman" w:hAnsi="Times New Roman" w:cs="Times New Roman"/>
          <w:sz w:val="24"/>
          <w:lang w:val="bg-BG"/>
        </w:rPr>
      </w:pPr>
    </w:p>
    <w:p w:rsidR="00001DE1" w:rsidRPr="004008DE" w:rsidRDefault="00001DE1" w:rsidP="00276280">
      <w:pPr>
        <w:pStyle w:val="ListParagraph"/>
        <w:numPr>
          <w:ilvl w:val="0"/>
          <w:numId w:val="15"/>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При пациенти с гръбначно-мозъчна травма и висок риск за прогресия на хеморагията – механична профилактика</w:t>
      </w:r>
    </w:p>
    <w:p w:rsidR="00001DE1" w:rsidRPr="004008DE" w:rsidRDefault="00001DE1" w:rsidP="00276280">
      <w:pPr>
        <w:pStyle w:val="ListParagraph"/>
        <w:numPr>
          <w:ilvl w:val="0"/>
          <w:numId w:val="15"/>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След </w:t>
      </w:r>
      <w:r w:rsidRPr="00781C61">
        <w:rPr>
          <w:rFonts w:ascii="Times New Roman" w:hAnsi="Times New Roman" w:cs="Times New Roman"/>
          <w:sz w:val="24"/>
          <w:lang w:val="bg-BG"/>
        </w:rPr>
        <w:t>отзвучаване на високия риск за прогресия на хеморагията - профилактика за 30 дни с нискомо</w:t>
      </w:r>
      <w:r w:rsidRPr="004008DE">
        <w:rPr>
          <w:rFonts w:ascii="Times New Roman" w:hAnsi="Times New Roman" w:cs="Times New Roman"/>
          <w:sz w:val="24"/>
          <w:lang w:val="bg-BG"/>
        </w:rPr>
        <w:t>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като първата доза се прилага </w:t>
      </w:r>
      <w:r w:rsidR="00E12254">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E12254">
        <w:rPr>
          <w:rFonts w:ascii="Times New Roman" w:hAnsi="Times New Roman" w:cs="Times New Roman"/>
          <w:sz w:val="24"/>
          <w:lang w:val="bg-BG"/>
        </w:rPr>
        <w:t>6-</w:t>
      </w:r>
      <w:r w:rsidRPr="004008DE">
        <w:rPr>
          <w:rFonts w:ascii="Times New Roman" w:hAnsi="Times New Roman" w:cs="Times New Roman"/>
          <w:sz w:val="24"/>
          <w:lang w:val="bg-BG"/>
        </w:rPr>
        <w:t>12</w:t>
      </w:r>
      <w:r w:rsidR="00E12254">
        <w:rPr>
          <w:rFonts w:ascii="Times New Roman" w:hAnsi="Times New Roman" w:cs="Times New Roman"/>
          <w:sz w:val="24"/>
          <w:lang w:val="bg-BG"/>
        </w:rPr>
        <w:t xml:space="preserve"> </w:t>
      </w:r>
      <w:r w:rsidRPr="004008DE">
        <w:rPr>
          <w:rFonts w:ascii="Times New Roman" w:hAnsi="Times New Roman" w:cs="Times New Roman"/>
          <w:sz w:val="24"/>
          <w:lang w:val="bg-BG"/>
        </w:rPr>
        <w:t xml:space="preserve"> часа следоперативно.</w:t>
      </w:r>
    </w:p>
    <w:p w:rsidR="00982DC8" w:rsidRPr="004008DE" w:rsidRDefault="00982DC8" w:rsidP="00276280">
      <w:pPr>
        <w:pStyle w:val="ListParagraph"/>
        <w:spacing w:after="0" w:line="240" w:lineRule="auto"/>
        <w:ind w:left="0"/>
        <w:rPr>
          <w:rFonts w:ascii="Times New Roman" w:hAnsi="Times New Roman" w:cs="Times New Roman"/>
          <w:sz w:val="24"/>
          <w:lang w:val="bg-BG"/>
        </w:rPr>
      </w:pPr>
    </w:p>
    <w:p w:rsidR="00F44929" w:rsidRPr="00DA0BF0" w:rsidRDefault="00DA0BF0" w:rsidP="00276280">
      <w:pPr>
        <w:spacing w:after="0" w:line="240" w:lineRule="auto"/>
        <w:ind w:firstLine="567"/>
        <w:rPr>
          <w:rFonts w:ascii="Times New Roman" w:hAnsi="Times New Roman" w:cs="Times New Roman"/>
          <w:sz w:val="24"/>
          <w:u w:val="single"/>
          <w:lang w:val="bg-BG"/>
        </w:rPr>
      </w:pPr>
      <w:r>
        <w:rPr>
          <w:rFonts w:ascii="Times New Roman" w:hAnsi="Times New Roman" w:cs="Times New Roman"/>
          <w:sz w:val="24"/>
          <w:u w:val="single"/>
          <w:lang w:val="en-US"/>
        </w:rPr>
        <w:lastRenderedPageBreak/>
        <w:t xml:space="preserve">4.7 </w:t>
      </w:r>
      <w:r w:rsidR="00982DC8" w:rsidRPr="00DA0BF0">
        <w:rPr>
          <w:rFonts w:ascii="Times New Roman" w:hAnsi="Times New Roman" w:cs="Times New Roman"/>
          <w:sz w:val="24"/>
          <w:u w:val="single"/>
          <w:lang w:val="bg-BG"/>
        </w:rPr>
        <w:t>Фрактури на таза</w:t>
      </w:r>
      <w:r w:rsidR="004255C2" w:rsidRPr="00DA0BF0">
        <w:rPr>
          <w:rFonts w:ascii="Times New Roman" w:hAnsi="Times New Roman" w:cs="Times New Roman"/>
          <w:sz w:val="24"/>
          <w:u w:val="single"/>
          <w:lang w:val="bg-BG"/>
        </w:rPr>
        <w:br/>
      </w:r>
    </w:p>
    <w:p w:rsidR="006E2180" w:rsidRPr="004008DE" w:rsidRDefault="0078195D" w:rsidP="00276280">
      <w:pPr>
        <w:spacing w:after="0" w:line="240" w:lineRule="auto"/>
        <w:ind w:firstLine="567"/>
        <w:rPr>
          <w:rFonts w:ascii="Times New Roman" w:hAnsi="Times New Roman" w:cs="Times New Roman"/>
          <w:color w:val="212121"/>
          <w:sz w:val="24"/>
          <w:szCs w:val="30"/>
          <w:shd w:val="clear" w:color="auto" w:fill="FFFFFF"/>
          <w:vertAlign w:val="superscript"/>
          <w:lang w:val="bg-BG"/>
        </w:rPr>
      </w:pPr>
      <w:r w:rsidRPr="004008DE">
        <w:rPr>
          <w:rFonts w:ascii="Times New Roman" w:hAnsi="Times New Roman" w:cs="Times New Roman"/>
          <w:color w:val="212121"/>
          <w:sz w:val="24"/>
          <w:szCs w:val="30"/>
          <w:shd w:val="clear" w:color="auto" w:fill="FFFFFF"/>
          <w:lang w:val="bg-BG"/>
        </w:rPr>
        <w:t>Съобщаваната в литературата честота на ДВТ при</w:t>
      </w:r>
      <w:r w:rsidR="00CC4ADA">
        <w:rPr>
          <w:rFonts w:ascii="Times New Roman" w:hAnsi="Times New Roman" w:cs="Times New Roman"/>
          <w:color w:val="212121"/>
          <w:sz w:val="24"/>
          <w:szCs w:val="30"/>
          <w:shd w:val="clear" w:color="auto" w:fill="FFFFFF"/>
          <w:lang w:val="bg-BG"/>
        </w:rPr>
        <w:t xml:space="preserve"> </w:t>
      </w:r>
      <w:r w:rsidRPr="004008DE">
        <w:rPr>
          <w:rFonts w:ascii="Times New Roman" w:hAnsi="Times New Roman" w:cs="Times New Roman"/>
          <w:color w:val="212121"/>
          <w:sz w:val="24"/>
          <w:szCs w:val="30"/>
          <w:shd w:val="clear" w:color="auto" w:fill="FFFFFF"/>
          <w:lang w:val="bg-BG"/>
        </w:rPr>
        <w:t>пациентите с фрактури на таза варира в зависимост от демографските особености, типа на фрактурата и метода за доказване на тромбозата</w:t>
      </w:r>
      <w:r w:rsidR="004255C2" w:rsidRPr="004008DE">
        <w:rPr>
          <w:rFonts w:ascii="Times New Roman" w:hAnsi="Times New Roman" w:cs="Times New Roman"/>
          <w:color w:val="212121"/>
          <w:sz w:val="24"/>
          <w:szCs w:val="30"/>
          <w:shd w:val="clear" w:color="auto" w:fill="FFFFFF"/>
          <w:lang w:val="bg-BG"/>
        </w:rPr>
        <w:t>.</w:t>
      </w:r>
      <w:r w:rsidR="004255C2" w:rsidRPr="004008DE">
        <w:rPr>
          <w:rFonts w:ascii="Times New Roman" w:hAnsi="Times New Roman" w:cs="Times New Roman"/>
          <w:color w:val="212121"/>
          <w:sz w:val="24"/>
          <w:szCs w:val="30"/>
          <w:shd w:val="clear" w:color="auto" w:fill="FFFFFF"/>
          <w:vertAlign w:val="superscript"/>
          <w:lang w:val="bg-BG"/>
        </w:rPr>
        <w:t>90</w:t>
      </w:r>
      <w:r w:rsidR="00CC4ADA">
        <w:rPr>
          <w:rFonts w:ascii="Times New Roman" w:hAnsi="Times New Roman" w:cs="Times New Roman"/>
          <w:color w:val="212121"/>
          <w:sz w:val="24"/>
          <w:szCs w:val="30"/>
          <w:shd w:val="clear" w:color="auto" w:fill="FFFFFF"/>
          <w:vertAlign w:val="superscript"/>
          <w:lang w:val="bg-BG"/>
        </w:rPr>
        <w:t xml:space="preserve"> </w:t>
      </w:r>
      <w:r w:rsidRPr="004008DE">
        <w:rPr>
          <w:rFonts w:ascii="Times New Roman" w:hAnsi="Times New Roman" w:cs="Times New Roman"/>
          <w:color w:val="212121"/>
          <w:sz w:val="24"/>
          <w:szCs w:val="30"/>
          <w:shd w:val="clear" w:color="auto" w:fill="FFFFFF"/>
          <w:lang w:val="bg-BG"/>
        </w:rPr>
        <w:t xml:space="preserve">Без профилактика обаче, при тези пациенти честотата на ДВТ достига </w:t>
      </w:r>
      <w:r w:rsidR="004255C2" w:rsidRPr="004008DE">
        <w:rPr>
          <w:rFonts w:ascii="Times New Roman" w:hAnsi="Times New Roman" w:cs="Times New Roman"/>
          <w:color w:val="212121"/>
          <w:sz w:val="24"/>
          <w:szCs w:val="30"/>
          <w:shd w:val="clear" w:color="auto" w:fill="FFFFFF"/>
          <w:lang w:val="bg-BG"/>
        </w:rPr>
        <w:t>50%, а см</w:t>
      </w:r>
      <w:r w:rsidRPr="004008DE">
        <w:rPr>
          <w:rFonts w:ascii="Times New Roman" w:hAnsi="Times New Roman" w:cs="Times New Roman"/>
          <w:color w:val="212121"/>
          <w:sz w:val="24"/>
          <w:szCs w:val="30"/>
          <w:shd w:val="clear" w:color="auto" w:fill="FFFFFF"/>
          <w:lang w:val="bg-BG"/>
        </w:rPr>
        <w:t>ъ</w:t>
      </w:r>
      <w:r w:rsidR="004255C2" w:rsidRPr="004008DE">
        <w:rPr>
          <w:rFonts w:ascii="Times New Roman" w:hAnsi="Times New Roman" w:cs="Times New Roman"/>
          <w:color w:val="212121"/>
          <w:sz w:val="24"/>
          <w:szCs w:val="30"/>
          <w:shd w:val="clear" w:color="auto" w:fill="FFFFFF"/>
          <w:lang w:val="bg-BG"/>
        </w:rPr>
        <w:t xml:space="preserve">ртта от белодробна тромбоемболия </w:t>
      </w:r>
      <w:r w:rsidRPr="004008DE">
        <w:rPr>
          <w:rFonts w:ascii="Times New Roman" w:hAnsi="Times New Roman" w:cs="Times New Roman"/>
          <w:color w:val="212121"/>
          <w:sz w:val="24"/>
          <w:szCs w:val="30"/>
          <w:shd w:val="clear" w:color="auto" w:fill="FFFFFF"/>
          <w:lang w:val="bg-BG"/>
        </w:rPr>
        <w:t>-</w:t>
      </w:r>
      <w:r w:rsidR="00CC4ADA">
        <w:rPr>
          <w:rFonts w:ascii="Times New Roman" w:hAnsi="Times New Roman" w:cs="Times New Roman"/>
          <w:color w:val="212121"/>
          <w:sz w:val="24"/>
          <w:szCs w:val="30"/>
          <w:shd w:val="clear" w:color="auto" w:fill="FFFFFF"/>
          <w:lang w:val="bg-BG"/>
        </w:rPr>
        <w:t xml:space="preserve"> 2%.</w:t>
      </w:r>
      <w:r w:rsidR="004255C2" w:rsidRPr="004008DE">
        <w:rPr>
          <w:rFonts w:ascii="Times New Roman" w:hAnsi="Times New Roman" w:cs="Times New Roman"/>
          <w:color w:val="212121"/>
          <w:sz w:val="24"/>
          <w:szCs w:val="30"/>
          <w:shd w:val="clear" w:color="auto" w:fill="FFFFFF"/>
          <w:vertAlign w:val="superscript"/>
          <w:lang w:val="bg-BG"/>
        </w:rPr>
        <w:t>91</w:t>
      </w:r>
      <w:r w:rsidR="00CC4ADA">
        <w:rPr>
          <w:rFonts w:ascii="Times New Roman" w:hAnsi="Times New Roman" w:cs="Times New Roman"/>
          <w:color w:val="212121"/>
          <w:sz w:val="24"/>
          <w:szCs w:val="30"/>
          <w:shd w:val="clear" w:color="auto" w:fill="FFFFFF"/>
          <w:vertAlign w:val="superscript"/>
          <w:lang w:val="bg-BG"/>
        </w:rPr>
        <w:t xml:space="preserve"> </w:t>
      </w:r>
      <w:r w:rsidRPr="004008DE">
        <w:rPr>
          <w:rFonts w:ascii="Times New Roman" w:hAnsi="Times New Roman" w:cs="Times New Roman"/>
          <w:color w:val="212121"/>
          <w:sz w:val="24"/>
          <w:szCs w:val="30"/>
          <w:shd w:val="clear" w:color="auto" w:fill="FFFFFF"/>
          <w:lang w:val="bg-BG"/>
        </w:rPr>
        <w:t>Според проучване на Geerts,  61% от пациентите с фрактури на таза, които не са б</w:t>
      </w:r>
      <w:r w:rsidR="00C84554" w:rsidRPr="004008DE">
        <w:rPr>
          <w:rFonts w:ascii="Times New Roman" w:hAnsi="Times New Roman" w:cs="Times New Roman"/>
          <w:color w:val="212121"/>
          <w:sz w:val="24"/>
          <w:szCs w:val="30"/>
          <w:shd w:val="clear" w:color="auto" w:fill="FFFFFF"/>
          <w:lang w:val="bg-BG"/>
        </w:rPr>
        <w:t>и</w:t>
      </w:r>
      <w:r w:rsidRPr="004008DE">
        <w:rPr>
          <w:rFonts w:ascii="Times New Roman" w:hAnsi="Times New Roman" w:cs="Times New Roman"/>
          <w:color w:val="212121"/>
          <w:sz w:val="24"/>
          <w:szCs w:val="30"/>
          <w:shd w:val="clear" w:color="auto" w:fill="FFFFFF"/>
          <w:lang w:val="bg-BG"/>
        </w:rPr>
        <w:t>ли на тромбопрофилактика, са имали ДВТ, като само 1,5% от участниците в проучването са имали клинични белези на ДВТ, преди диагнозата да бъде поставена чрез венография.</w:t>
      </w:r>
      <w:r w:rsidRPr="004008DE">
        <w:rPr>
          <w:rFonts w:ascii="Times New Roman" w:hAnsi="Times New Roman" w:cs="Times New Roman"/>
          <w:color w:val="212121"/>
          <w:sz w:val="24"/>
          <w:szCs w:val="30"/>
          <w:shd w:val="clear" w:color="auto" w:fill="FFFFFF"/>
          <w:vertAlign w:val="superscript"/>
          <w:lang w:val="bg-BG"/>
        </w:rPr>
        <w:t>92</w:t>
      </w:r>
    </w:p>
    <w:p w:rsidR="0078195D" w:rsidRPr="004008DE" w:rsidRDefault="0078195D" w:rsidP="00276280">
      <w:pPr>
        <w:spacing w:after="0" w:line="240" w:lineRule="auto"/>
        <w:rPr>
          <w:rFonts w:ascii="Times New Roman" w:hAnsi="Times New Roman" w:cs="Times New Roman"/>
          <w:sz w:val="24"/>
          <w:lang w:val="bg-BG"/>
        </w:rPr>
      </w:pPr>
      <w:r w:rsidRPr="004008DE">
        <w:rPr>
          <w:rFonts w:ascii="Times New Roman" w:hAnsi="Times New Roman" w:cs="Times New Roman"/>
          <w:color w:val="212121"/>
          <w:sz w:val="24"/>
          <w:szCs w:val="30"/>
          <w:shd w:val="clear" w:color="auto" w:fill="FFFFFF"/>
          <w:lang w:val="bg-BG"/>
        </w:rPr>
        <w:t xml:space="preserve">Въпреки това, </w:t>
      </w:r>
      <w:r w:rsidR="00C84554" w:rsidRPr="004008DE">
        <w:rPr>
          <w:rFonts w:ascii="Times New Roman" w:hAnsi="Times New Roman" w:cs="Times New Roman"/>
          <w:color w:val="212121"/>
          <w:sz w:val="24"/>
          <w:szCs w:val="30"/>
          <w:shd w:val="clear" w:color="auto" w:fill="FFFFFF"/>
          <w:lang w:val="bg-BG"/>
        </w:rPr>
        <w:t xml:space="preserve">не </w:t>
      </w:r>
      <w:r w:rsidRPr="004008DE">
        <w:rPr>
          <w:rFonts w:ascii="Times New Roman" w:hAnsi="Times New Roman" w:cs="Times New Roman"/>
          <w:color w:val="212121"/>
          <w:sz w:val="24"/>
          <w:szCs w:val="30"/>
          <w:shd w:val="clear" w:color="auto" w:fill="FFFFFF"/>
          <w:lang w:val="bg-BG"/>
        </w:rPr>
        <w:t>съществуват ясни препоръки, включително на NICE и ACCP</w:t>
      </w:r>
      <w:r w:rsidR="00C84554" w:rsidRPr="004008DE">
        <w:rPr>
          <w:rFonts w:ascii="Times New Roman" w:hAnsi="Times New Roman" w:cs="Times New Roman"/>
          <w:color w:val="212121"/>
          <w:sz w:val="24"/>
          <w:szCs w:val="30"/>
          <w:shd w:val="clear" w:color="auto" w:fill="FFFFFF"/>
          <w:lang w:val="bg-BG"/>
        </w:rPr>
        <w:t>,</w:t>
      </w:r>
      <w:r w:rsidRPr="004008DE">
        <w:rPr>
          <w:rFonts w:ascii="Times New Roman" w:hAnsi="Times New Roman" w:cs="Times New Roman"/>
          <w:color w:val="212121"/>
          <w:sz w:val="24"/>
          <w:szCs w:val="30"/>
          <w:shd w:val="clear" w:color="auto" w:fill="FFFFFF"/>
          <w:lang w:val="bg-BG"/>
        </w:rPr>
        <w:t xml:space="preserve"> по отношение на профилактиката на ВТЕ при</w:t>
      </w:r>
      <w:r w:rsidR="00CC4ADA">
        <w:rPr>
          <w:rFonts w:ascii="Times New Roman" w:hAnsi="Times New Roman" w:cs="Times New Roman"/>
          <w:color w:val="212121"/>
          <w:sz w:val="24"/>
          <w:szCs w:val="30"/>
          <w:shd w:val="clear" w:color="auto" w:fill="FFFFFF"/>
          <w:lang w:val="bg-BG"/>
        </w:rPr>
        <w:t xml:space="preserve"> </w:t>
      </w:r>
      <w:r w:rsidRPr="004008DE">
        <w:rPr>
          <w:rFonts w:ascii="Times New Roman" w:hAnsi="Times New Roman" w:cs="Times New Roman"/>
          <w:color w:val="212121"/>
          <w:sz w:val="24"/>
          <w:szCs w:val="30"/>
          <w:shd w:val="clear" w:color="auto" w:fill="FFFFFF"/>
          <w:lang w:val="bg-BG"/>
        </w:rPr>
        <w:t xml:space="preserve">пациентите с фрактури на таза. </w:t>
      </w:r>
    </w:p>
    <w:p w:rsidR="00982DC8" w:rsidRPr="004008DE" w:rsidRDefault="00982DC8" w:rsidP="00276280">
      <w:pPr>
        <w:spacing w:after="0" w:line="240" w:lineRule="auto"/>
        <w:rPr>
          <w:rFonts w:ascii="Times New Roman" w:hAnsi="Times New Roman" w:cs="Times New Roman"/>
          <w:sz w:val="24"/>
          <w:lang w:val="bg-BG"/>
        </w:rPr>
      </w:pPr>
    </w:p>
    <w:p w:rsidR="00C84554" w:rsidRPr="004008DE" w:rsidRDefault="004B472F" w:rsidP="00276280">
      <w:pPr>
        <w:spacing w:after="0" w:line="240" w:lineRule="auto"/>
        <w:ind w:firstLine="720"/>
        <w:rPr>
          <w:rFonts w:ascii="Times New Roman" w:hAnsi="Times New Roman" w:cs="Times New Roman"/>
          <w:sz w:val="24"/>
          <w:lang w:val="bg-BG"/>
        </w:rPr>
      </w:pPr>
      <w:r>
        <w:rPr>
          <w:rFonts w:ascii="Times New Roman" w:hAnsi="Times New Roman" w:cs="Times New Roman"/>
          <w:sz w:val="24"/>
          <w:lang w:val="bg-BG"/>
        </w:rPr>
        <w:t>БОТА препоръчва</w:t>
      </w:r>
      <w:r w:rsidR="00C84554" w:rsidRPr="004008DE">
        <w:rPr>
          <w:rFonts w:ascii="Times New Roman" w:hAnsi="Times New Roman" w:cs="Times New Roman"/>
          <w:sz w:val="24"/>
          <w:lang w:val="bg-BG"/>
        </w:rPr>
        <w:t xml:space="preserve"> следните режими за профилактика:</w:t>
      </w:r>
    </w:p>
    <w:p w:rsidR="00C84554" w:rsidRPr="004008DE" w:rsidRDefault="00C84554" w:rsidP="00276280">
      <w:pPr>
        <w:spacing w:after="0" w:line="240" w:lineRule="auto"/>
        <w:rPr>
          <w:rFonts w:ascii="Times New Roman" w:hAnsi="Times New Roman" w:cs="Times New Roman"/>
          <w:sz w:val="24"/>
          <w:lang w:val="bg-BG"/>
        </w:rPr>
      </w:pPr>
    </w:p>
    <w:p w:rsidR="00C84554" w:rsidRPr="004008DE" w:rsidRDefault="00C84554" w:rsidP="00276280">
      <w:pPr>
        <w:pStyle w:val="ListParagraph"/>
        <w:numPr>
          <w:ilvl w:val="0"/>
          <w:numId w:val="17"/>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в</w:t>
      </w:r>
      <w:r w:rsidR="00137020">
        <w:rPr>
          <w:rFonts w:ascii="Times New Roman" w:hAnsi="Times New Roman" w:cs="Times New Roman"/>
          <w:sz w:val="24"/>
          <w:lang w:val="bg-BG"/>
        </w:rPr>
        <w:t xml:space="preserve"> продължение на 35</w:t>
      </w:r>
      <w:r w:rsidRPr="004008DE">
        <w:rPr>
          <w:rFonts w:ascii="Times New Roman" w:hAnsi="Times New Roman" w:cs="Times New Roman"/>
          <w:sz w:val="24"/>
          <w:lang w:val="bg-BG"/>
        </w:rPr>
        <w:t xml:space="preserve"> дни, като първата доза се прилага при хоспитализацията, приложението се спира </w:t>
      </w:r>
      <w:r w:rsidR="00A719D3">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 </w:t>
      </w:r>
      <w:r w:rsidR="00A719D3">
        <w:rPr>
          <w:rFonts w:ascii="Times New Roman" w:hAnsi="Times New Roman" w:cs="Times New Roman"/>
          <w:sz w:val="24"/>
          <w:lang w:val="bg-BG"/>
        </w:rPr>
        <w:t xml:space="preserve">6-12 </w:t>
      </w:r>
      <w:r w:rsidRPr="004008DE">
        <w:rPr>
          <w:rFonts w:ascii="Times New Roman" w:hAnsi="Times New Roman" w:cs="Times New Roman"/>
          <w:sz w:val="24"/>
          <w:lang w:val="bg-BG"/>
        </w:rPr>
        <w:t>часа следоперативно.</w:t>
      </w:r>
    </w:p>
    <w:p w:rsidR="00C84554" w:rsidRPr="004008DE" w:rsidRDefault="00C84554" w:rsidP="00276280">
      <w:pPr>
        <w:pStyle w:val="ListParagraph"/>
        <w:numPr>
          <w:ilvl w:val="0"/>
          <w:numId w:val="17"/>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Фондапаринукс (Арикстра) в стандартна профилактична доза (2,5 mg/0,5 ml/24 часа) в продължение на 30 дни, като първата доза се прилага при хоспитализацията, приложението се спира </w:t>
      </w:r>
      <w:r w:rsidR="00A719D3">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w:t>
      </w:r>
      <w:r w:rsidR="00A719D3">
        <w:rPr>
          <w:rFonts w:ascii="Times New Roman" w:hAnsi="Times New Roman" w:cs="Times New Roman"/>
          <w:sz w:val="24"/>
          <w:lang w:val="bg-BG"/>
        </w:rPr>
        <w:t xml:space="preserve"> 6- 12 </w:t>
      </w:r>
      <w:r w:rsidRPr="004008DE">
        <w:rPr>
          <w:rFonts w:ascii="Times New Roman" w:hAnsi="Times New Roman" w:cs="Times New Roman"/>
          <w:sz w:val="24"/>
          <w:lang w:val="bg-BG"/>
        </w:rPr>
        <w:t xml:space="preserve"> часа следоперативно.</w:t>
      </w:r>
      <w:r w:rsidRPr="004008DE">
        <w:rPr>
          <w:rFonts w:ascii="Times New Roman" w:hAnsi="Times New Roman" w:cs="Times New Roman"/>
          <w:sz w:val="24"/>
          <w:vertAlign w:val="superscript"/>
          <w:lang w:val="bg-BG"/>
        </w:rPr>
        <w:t>63</w:t>
      </w:r>
      <w:r w:rsidRPr="004008DE">
        <w:rPr>
          <w:rFonts w:ascii="Times New Roman" w:hAnsi="Times New Roman" w:cs="Times New Roman"/>
          <w:sz w:val="24"/>
          <w:lang w:val="bg-BG"/>
        </w:rPr>
        <w:t>.</w:t>
      </w:r>
    </w:p>
    <w:p w:rsidR="00C84554" w:rsidRPr="004008DE" w:rsidRDefault="00C84554" w:rsidP="00276280">
      <w:pPr>
        <w:pStyle w:val="ListParagraph"/>
        <w:numPr>
          <w:ilvl w:val="0"/>
          <w:numId w:val="17"/>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(ранна мобилизация,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C84554" w:rsidRPr="004008DE" w:rsidRDefault="00C84554" w:rsidP="00276280">
      <w:pPr>
        <w:spacing w:after="0" w:line="240" w:lineRule="auto"/>
        <w:rPr>
          <w:rFonts w:ascii="Times New Roman" w:hAnsi="Times New Roman" w:cs="Times New Roman"/>
          <w:sz w:val="24"/>
          <w:lang w:val="bg-BG"/>
        </w:rPr>
      </w:pPr>
    </w:p>
    <w:p w:rsidR="00CC4ADA" w:rsidRDefault="0082414C" w:rsidP="00276280">
      <w:pPr>
        <w:pStyle w:val="ListParagraph"/>
        <w:spacing w:after="0" w:line="240" w:lineRule="auto"/>
        <w:ind w:left="0" w:firstLine="567"/>
        <w:rPr>
          <w:rFonts w:ascii="Times New Roman" w:hAnsi="Times New Roman" w:cs="Times New Roman"/>
          <w:sz w:val="24"/>
          <w:u w:val="single"/>
          <w:lang w:val="bg-BG"/>
        </w:rPr>
      </w:pPr>
      <w:r>
        <w:rPr>
          <w:rFonts w:ascii="Times New Roman" w:hAnsi="Times New Roman" w:cs="Times New Roman"/>
          <w:sz w:val="24"/>
          <w:u w:val="single"/>
          <w:lang w:val="bg-BG"/>
        </w:rPr>
        <w:t>4.</w:t>
      </w:r>
      <w:r w:rsidR="00DA0BF0">
        <w:rPr>
          <w:rFonts w:ascii="Times New Roman" w:hAnsi="Times New Roman" w:cs="Times New Roman"/>
          <w:sz w:val="24"/>
          <w:u w:val="single"/>
          <w:lang w:val="en-US"/>
        </w:rPr>
        <w:t>8</w:t>
      </w:r>
      <w:r>
        <w:rPr>
          <w:rFonts w:ascii="Times New Roman" w:hAnsi="Times New Roman" w:cs="Times New Roman"/>
          <w:sz w:val="24"/>
          <w:u w:val="single"/>
          <w:lang w:val="bg-BG"/>
        </w:rPr>
        <w:t xml:space="preserve"> </w:t>
      </w:r>
      <w:r w:rsidR="00982DC8" w:rsidRPr="002B39EE">
        <w:rPr>
          <w:rFonts w:ascii="Times New Roman" w:hAnsi="Times New Roman" w:cs="Times New Roman"/>
          <w:sz w:val="24"/>
          <w:u w:val="single"/>
          <w:lang w:val="bg-BG"/>
        </w:rPr>
        <w:t xml:space="preserve">Фрактури на </w:t>
      </w:r>
      <w:r>
        <w:rPr>
          <w:rFonts w:ascii="Times New Roman" w:hAnsi="Times New Roman" w:cs="Times New Roman"/>
          <w:sz w:val="24"/>
          <w:u w:val="single"/>
          <w:lang w:val="bg-BG"/>
        </w:rPr>
        <w:t>бедрената кост</w:t>
      </w:r>
      <w:r w:rsidR="002D72C4" w:rsidRPr="002B39EE">
        <w:rPr>
          <w:rFonts w:ascii="Times New Roman" w:hAnsi="Times New Roman" w:cs="Times New Roman"/>
          <w:sz w:val="24"/>
          <w:u w:val="single"/>
          <w:lang w:val="bg-BG"/>
        </w:rPr>
        <w:t>, включително и при неоперативно лечение</w:t>
      </w:r>
      <w:r w:rsidR="00CC4ADA">
        <w:rPr>
          <w:rFonts w:ascii="Times New Roman" w:hAnsi="Times New Roman" w:cs="Times New Roman"/>
          <w:sz w:val="24"/>
          <w:u w:val="single"/>
          <w:lang w:val="bg-BG"/>
        </w:rPr>
        <w:br/>
      </w:r>
    </w:p>
    <w:p w:rsidR="006E2180" w:rsidRPr="00CC4ADA" w:rsidRDefault="006E2180" w:rsidP="00276280">
      <w:pPr>
        <w:spacing w:after="0" w:line="240" w:lineRule="auto"/>
        <w:ind w:firstLine="567"/>
        <w:rPr>
          <w:rFonts w:ascii="Times New Roman" w:hAnsi="Times New Roman" w:cs="Times New Roman"/>
          <w:sz w:val="24"/>
          <w:vertAlign w:val="superscript"/>
          <w:lang w:val="bg-BG"/>
        </w:rPr>
      </w:pPr>
      <w:r w:rsidRPr="00CC4ADA">
        <w:rPr>
          <w:rFonts w:ascii="Times New Roman" w:hAnsi="Times New Roman" w:cs="Times New Roman"/>
          <w:sz w:val="24"/>
          <w:lang w:val="bg-BG"/>
        </w:rPr>
        <w:t xml:space="preserve">При пациенти, лекувани оперативно за фрактури на </w:t>
      </w:r>
      <w:r w:rsidR="00CC4ADA">
        <w:rPr>
          <w:rFonts w:ascii="Times New Roman" w:hAnsi="Times New Roman" w:cs="Times New Roman"/>
          <w:sz w:val="24"/>
          <w:lang w:val="bg-BG"/>
        </w:rPr>
        <w:t xml:space="preserve">проксималната, диафизарната или дисталната част на бедрената кост, </w:t>
      </w:r>
      <w:r w:rsidRPr="00CC4ADA">
        <w:rPr>
          <w:rFonts w:ascii="Times New Roman" w:hAnsi="Times New Roman" w:cs="Times New Roman"/>
          <w:sz w:val="24"/>
          <w:lang w:val="bg-BG"/>
        </w:rPr>
        <w:t xml:space="preserve">консенсусът на ACCP препоръчва профилактика с нискомолекулен хепарин, нефракциониран </w:t>
      </w:r>
      <w:r w:rsidR="004008DE" w:rsidRPr="00CC4ADA">
        <w:rPr>
          <w:rFonts w:ascii="Times New Roman" w:hAnsi="Times New Roman" w:cs="Times New Roman"/>
          <w:sz w:val="24"/>
          <w:lang w:val="bg-BG"/>
        </w:rPr>
        <w:t>хепарин</w:t>
      </w:r>
      <w:r w:rsidRPr="00CC4ADA">
        <w:rPr>
          <w:rFonts w:ascii="Times New Roman" w:hAnsi="Times New Roman" w:cs="Times New Roman"/>
          <w:sz w:val="24"/>
          <w:lang w:val="bg-BG"/>
        </w:rPr>
        <w:t>, антагонист на витамин К, фондапаринукс или аспирин в продължение на поне</w:t>
      </w:r>
      <w:r w:rsidR="00ED3845" w:rsidRPr="00CC4ADA">
        <w:rPr>
          <w:rFonts w:ascii="Times New Roman" w:hAnsi="Times New Roman" w:cs="Times New Roman"/>
          <w:sz w:val="24"/>
          <w:lang w:val="bg-BG"/>
        </w:rPr>
        <w:t xml:space="preserve"> 10-</w:t>
      </w:r>
      <w:r w:rsidRPr="00CC4ADA">
        <w:rPr>
          <w:rFonts w:ascii="Times New Roman" w:hAnsi="Times New Roman" w:cs="Times New Roman"/>
          <w:sz w:val="24"/>
          <w:lang w:val="bg-BG"/>
        </w:rPr>
        <w:t xml:space="preserve"> </w:t>
      </w:r>
      <w:r w:rsidR="00ED3845" w:rsidRPr="00CC4ADA">
        <w:rPr>
          <w:rFonts w:ascii="Times New Roman" w:hAnsi="Times New Roman" w:cs="Times New Roman"/>
          <w:sz w:val="24"/>
          <w:lang w:val="bg-BG"/>
        </w:rPr>
        <w:t>30</w:t>
      </w:r>
      <w:r w:rsidRPr="00CC4ADA">
        <w:rPr>
          <w:rFonts w:ascii="Times New Roman" w:hAnsi="Times New Roman" w:cs="Times New Roman"/>
          <w:sz w:val="24"/>
          <w:lang w:val="bg-BG"/>
        </w:rPr>
        <w:t xml:space="preserve"> дни, като се отдава предпочитание на нискомолекулния хепарин.</w:t>
      </w:r>
      <w:r w:rsidRPr="00CC4ADA">
        <w:rPr>
          <w:rFonts w:ascii="Times New Roman" w:hAnsi="Times New Roman" w:cs="Times New Roman"/>
          <w:sz w:val="24"/>
          <w:vertAlign w:val="superscript"/>
          <w:lang w:val="bg-BG"/>
        </w:rPr>
        <w:t>41,42</w:t>
      </w:r>
    </w:p>
    <w:p w:rsidR="006E2180" w:rsidRPr="004008DE" w:rsidRDefault="006E2180" w:rsidP="00276280">
      <w:pPr>
        <w:spacing w:after="0" w:line="240" w:lineRule="auto"/>
        <w:ind w:firstLine="567"/>
        <w:rPr>
          <w:rFonts w:ascii="Times New Roman" w:hAnsi="Times New Roman" w:cs="Times New Roman"/>
          <w:sz w:val="24"/>
          <w:vertAlign w:val="superscript"/>
          <w:lang w:val="bg-BG"/>
        </w:rPr>
      </w:pPr>
      <w:r w:rsidRPr="004008DE">
        <w:rPr>
          <w:rFonts w:ascii="Times New Roman" w:hAnsi="Times New Roman" w:cs="Times New Roman"/>
          <w:sz w:val="24"/>
          <w:lang w:val="bg-BG"/>
        </w:rPr>
        <w:t>Консенсусът на SIGN за профилактика на ВТЕ при пациенти с фрактури</w:t>
      </w:r>
      <w:r w:rsidR="00ED3845">
        <w:rPr>
          <w:rFonts w:ascii="Times New Roman" w:hAnsi="Times New Roman" w:cs="Times New Roman"/>
          <w:sz w:val="24"/>
          <w:lang w:val="bg-BG"/>
        </w:rPr>
        <w:t xml:space="preserve"> </w:t>
      </w:r>
      <w:r w:rsidRPr="004008DE">
        <w:rPr>
          <w:rFonts w:ascii="Times New Roman" w:hAnsi="Times New Roman" w:cs="Times New Roman"/>
          <w:sz w:val="24"/>
          <w:lang w:val="bg-BG"/>
        </w:rPr>
        <w:t>на проксималното бедро препоръчва употребата на нефракциониран хепарин, нискомолекулен хепарин или фондапаринукс, като не препоръчва монотерапията с аспирин. По отношение на фондапаринукс (Арикстра)</w:t>
      </w:r>
      <w:r w:rsidR="00350C12" w:rsidRPr="004008DE">
        <w:rPr>
          <w:rFonts w:ascii="Times New Roman" w:hAnsi="Times New Roman" w:cs="Times New Roman"/>
          <w:sz w:val="24"/>
          <w:lang w:val="bg-BG"/>
        </w:rPr>
        <w:t xml:space="preserve"> се отбелязва, че </w:t>
      </w:r>
      <w:r w:rsidR="006C2776">
        <w:rPr>
          <w:rFonts w:ascii="Times New Roman" w:hAnsi="Times New Roman" w:cs="Times New Roman"/>
          <w:sz w:val="24"/>
          <w:lang w:val="bg-BG"/>
        </w:rPr>
        <w:t xml:space="preserve">при </w:t>
      </w:r>
      <w:r w:rsidR="00350C12" w:rsidRPr="004008DE">
        <w:rPr>
          <w:rFonts w:ascii="Times New Roman" w:hAnsi="Times New Roman" w:cs="Times New Roman"/>
          <w:sz w:val="24"/>
          <w:lang w:val="bg-BG"/>
        </w:rPr>
        <w:t xml:space="preserve">пациентите без противопоказания, профилактиката с </w:t>
      </w:r>
      <w:r w:rsidR="004008DE" w:rsidRPr="004008DE">
        <w:rPr>
          <w:rFonts w:ascii="Times New Roman" w:hAnsi="Times New Roman" w:cs="Times New Roman"/>
          <w:sz w:val="24"/>
          <w:lang w:val="bg-BG"/>
        </w:rPr>
        <w:t>фондапаринукс</w:t>
      </w:r>
      <w:r w:rsidR="00350C12" w:rsidRPr="004008DE">
        <w:rPr>
          <w:rFonts w:ascii="Times New Roman" w:hAnsi="Times New Roman" w:cs="Times New Roman"/>
          <w:sz w:val="24"/>
          <w:lang w:val="bg-BG"/>
        </w:rPr>
        <w:t xml:space="preserve"> може да започне 6 часа след операцията и да продължи 28 дни.</w:t>
      </w:r>
      <w:r w:rsidR="00350C12" w:rsidRPr="004008DE">
        <w:rPr>
          <w:rFonts w:ascii="Times New Roman" w:hAnsi="Times New Roman" w:cs="Times New Roman"/>
          <w:sz w:val="24"/>
          <w:vertAlign w:val="superscript"/>
          <w:lang w:val="bg-BG"/>
        </w:rPr>
        <w:t>43,71</w:t>
      </w:r>
    </w:p>
    <w:p w:rsidR="00365502" w:rsidRPr="004008DE" w:rsidRDefault="00365502"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 xml:space="preserve">NICE препоръчва започване на профилактика с хепарин (нефракциониран или нискомолекулен) при хоспитализацията, спиране 12 часа предоперативно и възстановяване 6 до 12 часа следоперативно, в комбинация с механична профилактика и ранна мобилизация на пациента. </w:t>
      </w:r>
      <w:r w:rsidRPr="004008DE">
        <w:rPr>
          <w:rFonts w:ascii="Times New Roman" w:hAnsi="Times New Roman" w:cs="Times New Roman"/>
          <w:sz w:val="24"/>
          <w:vertAlign w:val="superscript"/>
          <w:lang w:val="bg-BG"/>
        </w:rPr>
        <w:t>70</w:t>
      </w:r>
    </w:p>
    <w:p w:rsidR="002D72C4" w:rsidRPr="004008DE" w:rsidRDefault="002D72C4"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AAOS препоръчва профилактиката при неоперативно лекувани пациенти да бъде същата, както при лекуваните оперативно.</w:t>
      </w:r>
      <w:r w:rsidRPr="004008DE">
        <w:rPr>
          <w:rFonts w:ascii="Times New Roman" w:hAnsi="Times New Roman" w:cs="Times New Roman"/>
          <w:sz w:val="24"/>
          <w:vertAlign w:val="superscript"/>
          <w:lang w:val="bg-BG"/>
        </w:rPr>
        <w:t>88</w:t>
      </w:r>
    </w:p>
    <w:p w:rsidR="002D72C4" w:rsidRPr="004008DE" w:rsidRDefault="002D72C4" w:rsidP="00276280">
      <w:pPr>
        <w:spacing w:after="0" w:line="240" w:lineRule="auto"/>
        <w:rPr>
          <w:rFonts w:ascii="Times New Roman" w:hAnsi="Times New Roman" w:cs="Times New Roman"/>
          <w:sz w:val="24"/>
          <w:lang w:val="bg-BG"/>
        </w:rPr>
      </w:pPr>
    </w:p>
    <w:p w:rsidR="00365502"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lastRenderedPageBreak/>
        <w:t>БОТА препоръчва</w:t>
      </w:r>
      <w:r w:rsidR="00365502" w:rsidRPr="004008DE">
        <w:rPr>
          <w:rFonts w:ascii="Times New Roman" w:hAnsi="Times New Roman" w:cs="Times New Roman"/>
          <w:sz w:val="24"/>
          <w:lang w:val="bg-BG"/>
        </w:rPr>
        <w:t xml:space="preserve"> следните режими за профилактика:</w:t>
      </w:r>
    </w:p>
    <w:p w:rsidR="005E3599" w:rsidRPr="004008DE" w:rsidRDefault="005E3599" w:rsidP="00276280">
      <w:pPr>
        <w:spacing w:after="0" w:line="240" w:lineRule="auto"/>
        <w:rPr>
          <w:rFonts w:ascii="Times New Roman" w:hAnsi="Times New Roman" w:cs="Times New Roman"/>
          <w:sz w:val="24"/>
          <w:lang w:val="bg-BG"/>
        </w:rPr>
      </w:pPr>
    </w:p>
    <w:p w:rsidR="005E3599" w:rsidRPr="004008DE" w:rsidRDefault="005E3599" w:rsidP="00276280">
      <w:pPr>
        <w:pStyle w:val="ListParagraph"/>
        <w:numPr>
          <w:ilvl w:val="0"/>
          <w:numId w:val="26"/>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00ED3845">
        <w:rPr>
          <w:rFonts w:ascii="Times New Roman" w:hAnsi="Times New Roman" w:cs="Times New Roman"/>
          <w:sz w:val="24"/>
          <w:lang w:val="bg-BG"/>
        </w:rPr>
        <w:t>) в продължение на 35</w:t>
      </w:r>
      <w:r w:rsidRPr="004008DE">
        <w:rPr>
          <w:rFonts w:ascii="Times New Roman" w:hAnsi="Times New Roman" w:cs="Times New Roman"/>
          <w:sz w:val="24"/>
          <w:lang w:val="bg-BG"/>
        </w:rPr>
        <w:t xml:space="preserve"> дни, като първата доза се прилага при хоспитализацията, приложението се спира </w:t>
      </w:r>
      <w:r w:rsidR="00ED3845">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 </w:t>
      </w:r>
      <w:r w:rsidR="00ED3845">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p>
    <w:p w:rsidR="005E3599" w:rsidRPr="004008DE" w:rsidRDefault="005E3599" w:rsidP="00276280">
      <w:pPr>
        <w:pStyle w:val="ListParagraph"/>
        <w:numPr>
          <w:ilvl w:val="0"/>
          <w:numId w:val="26"/>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Фондапаринукс (Арикстра) в стандартна профилактична доза (2,5 mg/0,5</w:t>
      </w:r>
      <w:r w:rsidR="00ED3845">
        <w:rPr>
          <w:rFonts w:ascii="Times New Roman" w:hAnsi="Times New Roman" w:cs="Times New Roman"/>
          <w:sz w:val="24"/>
          <w:lang w:val="bg-BG"/>
        </w:rPr>
        <w:t xml:space="preserve"> ml/24 часа) в продължение на 35</w:t>
      </w:r>
      <w:r w:rsidRPr="004008DE">
        <w:rPr>
          <w:rFonts w:ascii="Times New Roman" w:hAnsi="Times New Roman" w:cs="Times New Roman"/>
          <w:sz w:val="24"/>
          <w:lang w:val="bg-BG"/>
        </w:rPr>
        <w:t xml:space="preserve"> дни, като първата доза се прилага при хоспитализацията, приложението се спира </w:t>
      </w:r>
      <w:r w:rsidR="00ED3845">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 </w:t>
      </w:r>
      <w:r w:rsidR="00ED3845">
        <w:rPr>
          <w:rFonts w:ascii="Times New Roman" w:hAnsi="Times New Roman" w:cs="Times New Roman"/>
          <w:sz w:val="24"/>
          <w:lang w:val="bg-BG"/>
        </w:rPr>
        <w:t xml:space="preserve">6-12 </w:t>
      </w:r>
      <w:r w:rsidRPr="004008DE">
        <w:rPr>
          <w:rFonts w:ascii="Times New Roman" w:hAnsi="Times New Roman" w:cs="Times New Roman"/>
          <w:sz w:val="24"/>
          <w:lang w:val="bg-BG"/>
        </w:rPr>
        <w:t>часа следоперативно.</w:t>
      </w:r>
      <w:r w:rsidRPr="004008DE">
        <w:rPr>
          <w:rFonts w:ascii="Times New Roman" w:hAnsi="Times New Roman" w:cs="Times New Roman"/>
          <w:sz w:val="24"/>
          <w:vertAlign w:val="superscript"/>
          <w:lang w:val="bg-BG"/>
        </w:rPr>
        <w:t>63</w:t>
      </w:r>
      <w:r w:rsidRPr="004008DE">
        <w:rPr>
          <w:rFonts w:ascii="Times New Roman" w:hAnsi="Times New Roman" w:cs="Times New Roman"/>
          <w:sz w:val="24"/>
          <w:lang w:val="bg-BG"/>
        </w:rPr>
        <w:t>.</w:t>
      </w:r>
    </w:p>
    <w:p w:rsidR="00293EC6" w:rsidRPr="004008DE" w:rsidRDefault="00293EC6" w:rsidP="00276280">
      <w:pPr>
        <w:pStyle w:val="ListParagraph"/>
        <w:numPr>
          <w:ilvl w:val="0"/>
          <w:numId w:val="26"/>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Всеки от посочените методи за фармакологична профилактика може да се</w:t>
      </w:r>
      <w:r w:rsidR="0082414C">
        <w:rPr>
          <w:rFonts w:ascii="Times New Roman" w:hAnsi="Times New Roman" w:cs="Times New Roman"/>
          <w:sz w:val="24"/>
          <w:lang w:val="bg-BG"/>
        </w:rPr>
        <w:t xml:space="preserve"> </w:t>
      </w:r>
      <w:r w:rsidRPr="004008DE">
        <w:rPr>
          <w:rFonts w:ascii="Times New Roman" w:hAnsi="Times New Roman" w:cs="Times New Roman"/>
          <w:sz w:val="24"/>
          <w:lang w:val="bg-BG"/>
        </w:rPr>
        <w:t>комбинира с механична профилактика (ранна мобилизация,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982DC8" w:rsidRPr="004008DE" w:rsidRDefault="00982DC8" w:rsidP="00276280">
      <w:pPr>
        <w:spacing w:after="0" w:line="240" w:lineRule="auto"/>
        <w:rPr>
          <w:rFonts w:ascii="Times New Roman" w:hAnsi="Times New Roman" w:cs="Times New Roman"/>
          <w:sz w:val="24"/>
          <w:lang w:val="bg-BG"/>
        </w:rPr>
      </w:pPr>
    </w:p>
    <w:p w:rsidR="00F44C47" w:rsidRPr="00DA0BF0" w:rsidRDefault="00DA0BF0" w:rsidP="00276280">
      <w:pPr>
        <w:spacing w:after="0" w:line="240" w:lineRule="auto"/>
        <w:ind w:firstLine="567"/>
        <w:rPr>
          <w:rFonts w:ascii="Times New Roman" w:hAnsi="Times New Roman" w:cs="Times New Roman"/>
          <w:sz w:val="24"/>
          <w:u w:val="single"/>
          <w:lang w:val="bg-BG"/>
        </w:rPr>
      </w:pPr>
      <w:r>
        <w:rPr>
          <w:rFonts w:ascii="Times New Roman" w:hAnsi="Times New Roman" w:cs="Times New Roman"/>
          <w:sz w:val="24"/>
          <w:u w:val="single"/>
          <w:lang w:val="en-US"/>
        </w:rPr>
        <w:t>4.9</w:t>
      </w:r>
      <w:r w:rsidR="0082414C" w:rsidRPr="00DA0BF0">
        <w:rPr>
          <w:rFonts w:ascii="Times New Roman" w:hAnsi="Times New Roman" w:cs="Times New Roman"/>
          <w:sz w:val="24"/>
          <w:u w:val="single"/>
          <w:lang w:val="bg-BG"/>
        </w:rPr>
        <w:t xml:space="preserve"> </w:t>
      </w:r>
      <w:r w:rsidR="00982DC8" w:rsidRPr="00DA0BF0">
        <w:rPr>
          <w:rFonts w:ascii="Times New Roman" w:hAnsi="Times New Roman" w:cs="Times New Roman"/>
          <w:sz w:val="24"/>
          <w:u w:val="single"/>
          <w:lang w:val="bg-BG"/>
        </w:rPr>
        <w:t>Травми на долния крайник дистално от коляното</w:t>
      </w:r>
      <w:r w:rsidR="00F44C47" w:rsidRPr="00DA0BF0">
        <w:rPr>
          <w:rFonts w:ascii="Times New Roman" w:hAnsi="Times New Roman" w:cs="Times New Roman"/>
          <w:sz w:val="24"/>
          <w:u w:val="single"/>
          <w:lang w:val="bg-BG"/>
        </w:rPr>
        <w:t>, лекувани оперативно</w:t>
      </w:r>
    </w:p>
    <w:p w:rsidR="00F44C47" w:rsidRPr="004008DE" w:rsidRDefault="00F44C47" w:rsidP="00276280">
      <w:pPr>
        <w:spacing w:after="0" w:line="240" w:lineRule="auto"/>
        <w:rPr>
          <w:rFonts w:ascii="Times New Roman" w:hAnsi="Times New Roman" w:cs="Times New Roman"/>
          <w:sz w:val="24"/>
          <w:u w:val="single"/>
          <w:lang w:val="bg-BG"/>
        </w:rPr>
      </w:pPr>
    </w:p>
    <w:p w:rsidR="00F44C47" w:rsidRPr="004008DE" w:rsidRDefault="00F44C47" w:rsidP="00276280">
      <w:pPr>
        <w:spacing w:after="0" w:line="240" w:lineRule="auto"/>
        <w:ind w:firstLine="567"/>
        <w:rPr>
          <w:rFonts w:ascii="Times New Roman" w:hAnsi="Times New Roman" w:cs="Times New Roman"/>
          <w:sz w:val="24"/>
          <w:u w:val="single"/>
          <w:lang w:val="bg-BG"/>
        </w:rPr>
      </w:pPr>
      <w:r w:rsidRPr="004008DE">
        <w:rPr>
          <w:rFonts w:ascii="Times New Roman" w:hAnsi="Times New Roman" w:cs="Times New Roman"/>
          <w:sz w:val="24"/>
          <w:lang w:val="bg-BG"/>
        </w:rPr>
        <w:t>Рутинната профилактика на ВТЕ при подвижни пациенти, лекувани оперативно за травми на долния крайник дистално от коляното, е противоречива.</w:t>
      </w:r>
      <w:r w:rsidRPr="004008DE">
        <w:rPr>
          <w:rFonts w:ascii="Times New Roman" w:hAnsi="Times New Roman" w:cs="Times New Roman"/>
          <w:sz w:val="24"/>
          <w:vertAlign w:val="superscript"/>
          <w:lang w:val="bg-BG"/>
        </w:rPr>
        <w:t>84</w:t>
      </w:r>
      <w:r w:rsidRPr="004008DE">
        <w:rPr>
          <w:rFonts w:ascii="Times New Roman" w:hAnsi="Times New Roman" w:cs="Times New Roman"/>
          <w:sz w:val="24"/>
          <w:lang w:val="bg-BG"/>
        </w:rPr>
        <w:t xml:space="preserve"> Последният консенсус на ACCP не препоръчва профилактика на ВТЕ при пациентите с изолирани травми на долния крайник, лекувани оперативно.</w:t>
      </w:r>
      <w:r w:rsidRPr="004008DE">
        <w:rPr>
          <w:rFonts w:ascii="Times New Roman" w:hAnsi="Times New Roman" w:cs="Times New Roman"/>
          <w:sz w:val="24"/>
          <w:vertAlign w:val="superscript"/>
          <w:lang w:val="bg-BG"/>
        </w:rPr>
        <w:t xml:space="preserve">42  </w:t>
      </w:r>
      <w:r w:rsidRPr="006C2776">
        <w:rPr>
          <w:rFonts w:ascii="Times New Roman" w:hAnsi="Times New Roman" w:cs="Times New Roman"/>
          <w:sz w:val="24"/>
          <w:lang w:val="bg-BG"/>
        </w:rPr>
        <w:t xml:space="preserve">От друга страна, публикуван през 2016 г. мета-анализ препоръчва рутинна механична профилактика на ВТЕ при пациентите с руптура на Ахиловото сухожилие, независимо дали е лекувано оперативно или неоперативно. </w:t>
      </w:r>
      <w:r w:rsidRPr="004008DE">
        <w:rPr>
          <w:rFonts w:ascii="Times New Roman" w:hAnsi="Times New Roman" w:cs="Times New Roman"/>
          <w:sz w:val="24"/>
          <w:lang w:val="bg-BG"/>
        </w:rPr>
        <w:t>В същия мета-анализ не се препоръчва рутинна фармакологична профилактика при пациентите с хирургични интервенции в областта на глезена и ходилото.</w:t>
      </w:r>
      <w:r w:rsidRPr="004008DE">
        <w:rPr>
          <w:rFonts w:ascii="Times New Roman" w:hAnsi="Times New Roman" w:cs="Times New Roman"/>
          <w:sz w:val="24"/>
          <w:vertAlign w:val="superscript"/>
          <w:lang w:val="bg-BG"/>
        </w:rPr>
        <w:t>89</w:t>
      </w:r>
    </w:p>
    <w:p w:rsidR="004608DA" w:rsidRDefault="00F44C47" w:rsidP="00276280">
      <w:pPr>
        <w:spacing w:after="0" w:line="240" w:lineRule="auto"/>
        <w:ind w:firstLine="567"/>
        <w:rPr>
          <w:rFonts w:ascii="Times New Roman" w:hAnsi="Times New Roman" w:cs="Times New Roman"/>
          <w:b/>
          <w:i/>
          <w:sz w:val="24"/>
          <w:u w:val="single"/>
          <w:lang w:val="bg-BG"/>
        </w:rPr>
      </w:pPr>
      <w:r w:rsidRPr="003E3623">
        <w:rPr>
          <w:rFonts w:ascii="Times New Roman" w:hAnsi="Times New Roman" w:cs="Times New Roman"/>
          <w:b/>
          <w:i/>
          <w:sz w:val="24"/>
          <w:lang w:val="bg-BG"/>
        </w:rPr>
        <w:t>NICE</w:t>
      </w:r>
      <w:r w:rsidR="003758B6" w:rsidRPr="003E3623">
        <w:rPr>
          <w:rFonts w:ascii="Times New Roman" w:hAnsi="Times New Roman" w:cs="Times New Roman"/>
          <w:b/>
          <w:i/>
          <w:sz w:val="24"/>
          <w:lang w:val="bg-BG"/>
        </w:rPr>
        <w:t xml:space="preserve"> също не препоръчва рутинна профилактика при пациентите, лекувани оперативно за травми дистално от коляното, освен в случаите с операции под инхалаторна анестезия с продължителност над 90 минути и наличие на повишен риск за развитие на ВТЕ.</w:t>
      </w:r>
      <w:r w:rsidR="003758B6" w:rsidRPr="003E3623">
        <w:rPr>
          <w:rFonts w:ascii="Times New Roman" w:hAnsi="Times New Roman" w:cs="Times New Roman"/>
          <w:b/>
          <w:i/>
          <w:sz w:val="24"/>
          <w:vertAlign w:val="superscript"/>
          <w:lang w:val="bg-BG"/>
        </w:rPr>
        <w:t>70</w:t>
      </w:r>
      <w:r w:rsidR="004608DA" w:rsidRPr="003E3623">
        <w:rPr>
          <w:rFonts w:ascii="Times New Roman" w:hAnsi="Times New Roman" w:cs="Times New Roman"/>
          <w:b/>
          <w:i/>
          <w:sz w:val="24"/>
          <w:u w:val="single"/>
          <w:lang w:val="bg-BG"/>
        </w:rPr>
        <w:br/>
      </w:r>
    </w:p>
    <w:p w:rsidR="008732C1" w:rsidRDefault="008732C1"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Pr="004008DE">
        <w:rPr>
          <w:rFonts w:ascii="Times New Roman" w:hAnsi="Times New Roman" w:cs="Times New Roman"/>
          <w:sz w:val="24"/>
          <w:lang w:val="bg-BG"/>
        </w:rPr>
        <w:t xml:space="preserve"> следните режими за профилактика:</w:t>
      </w:r>
    </w:p>
    <w:p w:rsidR="008732C1" w:rsidRPr="008732C1" w:rsidRDefault="008732C1" w:rsidP="00276280">
      <w:pPr>
        <w:spacing w:after="0" w:line="240" w:lineRule="auto"/>
        <w:ind w:firstLine="567"/>
        <w:rPr>
          <w:rFonts w:ascii="Times New Roman" w:hAnsi="Times New Roman" w:cs="Times New Roman"/>
          <w:b/>
          <w:sz w:val="24"/>
          <w:u w:val="single"/>
          <w:lang w:val="bg-BG"/>
        </w:rPr>
      </w:pPr>
    </w:p>
    <w:p w:rsidR="003758B6" w:rsidRPr="004008DE" w:rsidRDefault="003758B6" w:rsidP="00276280">
      <w:pPr>
        <w:pStyle w:val="ListParagraph"/>
        <w:numPr>
          <w:ilvl w:val="0"/>
          <w:numId w:val="20"/>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При нискорискови за ВТЕ пациенти (Padua Prediction Score </w:t>
      </w:r>
      <w:r w:rsidR="004E72F1">
        <w:rPr>
          <w:rFonts w:ascii="Times New Roman" w:hAnsi="Times New Roman" w:cs="Times New Roman"/>
          <w:sz w:val="24"/>
          <w:lang w:val="bg-BG"/>
        </w:rPr>
        <w:t>&lt;4 т.</w:t>
      </w:r>
      <w:r w:rsidRPr="004008DE">
        <w:rPr>
          <w:rFonts w:ascii="Times New Roman" w:hAnsi="Times New Roman" w:cs="Times New Roman"/>
          <w:sz w:val="24"/>
          <w:lang w:val="bg-BG"/>
        </w:rPr>
        <w:t xml:space="preserve">) след травми дистално от коляното, лекувани оперативно, по преценка на оператора може да се провежда профилактика за 10 дни с ацетилсалицилова </w:t>
      </w:r>
      <w:r w:rsidR="00C84554" w:rsidRPr="004008DE">
        <w:rPr>
          <w:rFonts w:ascii="Times New Roman" w:hAnsi="Times New Roman" w:cs="Times New Roman"/>
          <w:sz w:val="24"/>
          <w:lang w:val="bg-BG"/>
        </w:rPr>
        <w:t>киселина</w:t>
      </w:r>
      <w:r w:rsidRPr="004008DE">
        <w:rPr>
          <w:rFonts w:ascii="Times New Roman" w:hAnsi="Times New Roman" w:cs="Times New Roman"/>
          <w:sz w:val="24"/>
          <w:lang w:val="bg-BG"/>
        </w:rPr>
        <w:t xml:space="preserve"> (ASA, аспирин) в доза 100 mg/24 часа, </w:t>
      </w:r>
      <w:r w:rsidR="003E3623">
        <w:rPr>
          <w:rFonts w:ascii="Times New Roman" w:hAnsi="Times New Roman" w:cs="Times New Roman"/>
          <w:sz w:val="24"/>
          <w:lang w:val="bg-BG"/>
        </w:rPr>
        <w:t xml:space="preserve">като първата доза се приема 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1</w:t>
      </w:r>
      <w:r w:rsidR="003E3623">
        <w:rPr>
          <w:rFonts w:ascii="Times New Roman" w:hAnsi="Times New Roman" w:cs="Times New Roman"/>
          <w:sz w:val="24"/>
          <w:lang w:val="bg-BG"/>
        </w:rPr>
        <w:t xml:space="preserve">2 </w:t>
      </w:r>
      <w:r w:rsidRPr="004008DE">
        <w:rPr>
          <w:rFonts w:ascii="Times New Roman" w:hAnsi="Times New Roman" w:cs="Times New Roman"/>
          <w:sz w:val="24"/>
          <w:lang w:val="bg-BG"/>
        </w:rPr>
        <w:t xml:space="preserve"> часа следоперативно.</w:t>
      </w:r>
    </w:p>
    <w:p w:rsidR="003758B6" w:rsidRPr="004008DE" w:rsidRDefault="003758B6" w:rsidP="00276280">
      <w:pPr>
        <w:pStyle w:val="ListParagraph"/>
        <w:numPr>
          <w:ilvl w:val="0"/>
          <w:numId w:val="20"/>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При високорискови за ВТЕ пациенти (Padua Prediction Score ≥ 4 т.) след травми дистално от коляното, лекувани оп</w:t>
      </w:r>
      <w:r w:rsidR="003E3623">
        <w:rPr>
          <w:rFonts w:ascii="Times New Roman" w:hAnsi="Times New Roman" w:cs="Times New Roman"/>
          <w:sz w:val="24"/>
          <w:lang w:val="bg-BG"/>
        </w:rPr>
        <w:t xml:space="preserve">еративно </w:t>
      </w:r>
      <w:r w:rsidR="006C2776">
        <w:rPr>
          <w:rFonts w:ascii="Times New Roman" w:hAnsi="Times New Roman" w:cs="Times New Roman"/>
          <w:sz w:val="24"/>
          <w:lang w:val="bg-BG"/>
        </w:rPr>
        <w:t>–</w:t>
      </w:r>
      <w:r w:rsidR="003E3623">
        <w:rPr>
          <w:rFonts w:ascii="Times New Roman" w:hAnsi="Times New Roman" w:cs="Times New Roman"/>
          <w:sz w:val="24"/>
          <w:lang w:val="bg-BG"/>
        </w:rPr>
        <w:t xml:space="preserve"> профилактика за 10</w:t>
      </w:r>
      <w:r w:rsidR="006C2776">
        <w:rPr>
          <w:rFonts w:ascii="Times New Roman" w:hAnsi="Times New Roman" w:cs="Times New Roman"/>
          <w:sz w:val="24"/>
          <w:lang w:val="bg-BG"/>
        </w:rPr>
        <w:noBreakHyphen/>
      </w:r>
      <w:r w:rsidRPr="006C2776">
        <w:rPr>
          <w:rFonts w:ascii="Times New Roman" w:hAnsi="Times New Roman" w:cs="Times New Roman"/>
          <w:sz w:val="24"/>
          <w:lang w:val="bg-BG"/>
        </w:rPr>
        <w:t>30</w:t>
      </w:r>
      <w:r w:rsidR="003E3623">
        <w:rPr>
          <w:rFonts w:ascii="Times New Roman" w:hAnsi="Times New Roman" w:cs="Times New Roman"/>
          <w:sz w:val="24"/>
          <w:lang w:val="bg-BG"/>
        </w:rPr>
        <w:t xml:space="preserve"> дни</w:t>
      </w:r>
      <w:r w:rsidR="002D57E0">
        <w:rPr>
          <w:rFonts w:ascii="Times New Roman" w:hAnsi="Times New Roman" w:cs="Times New Roman"/>
          <w:sz w:val="24"/>
          <w:lang w:val="bg-BG"/>
        </w:rPr>
        <w:t xml:space="preserve"> </w:t>
      </w:r>
      <w:r w:rsidR="003E3623">
        <w:rPr>
          <w:rFonts w:ascii="Times New Roman" w:hAnsi="Times New Roman" w:cs="Times New Roman"/>
          <w:sz w:val="24"/>
          <w:lang w:val="bg-BG"/>
        </w:rPr>
        <w:t>(по преценка на оператора)</w:t>
      </w:r>
      <w:r w:rsidRPr="004008DE">
        <w:rPr>
          <w:rFonts w:ascii="Times New Roman" w:hAnsi="Times New Roman" w:cs="Times New Roman"/>
          <w:sz w:val="24"/>
          <w:lang w:val="bg-BG"/>
        </w:rPr>
        <w:t xml:space="preserve"> с 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к</w:t>
      </w:r>
      <w:r w:rsidR="003E3623">
        <w:rPr>
          <w:rFonts w:ascii="Times New Roman" w:hAnsi="Times New Roman" w:cs="Times New Roman"/>
          <w:sz w:val="24"/>
          <w:lang w:val="bg-BG"/>
        </w:rPr>
        <w:t>ато първата доза се прилага 12</w:t>
      </w:r>
      <w:r w:rsidRPr="004008DE">
        <w:rPr>
          <w:rFonts w:ascii="Times New Roman" w:hAnsi="Times New Roman" w:cs="Times New Roman"/>
          <w:sz w:val="24"/>
          <w:lang w:val="bg-BG"/>
        </w:rPr>
        <w:t xml:space="preserve"> часа преди оперативната интервенция, а пъ</w:t>
      </w:r>
      <w:r w:rsidR="003E3623">
        <w:rPr>
          <w:rFonts w:ascii="Times New Roman" w:hAnsi="Times New Roman" w:cs="Times New Roman"/>
          <w:sz w:val="24"/>
          <w:lang w:val="bg-BG"/>
        </w:rPr>
        <w:t xml:space="preserve">рвата следоперативна доза – 12 </w:t>
      </w:r>
      <w:r w:rsidRPr="004008DE">
        <w:rPr>
          <w:rFonts w:ascii="Times New Roman" w:hAnsi="Times New Roman" w:cs="Times New Roman"/>
          <w:sz w:val="24"/>
          <w:lang w:val="bg-BG"/>
        </w:rPr>
        <w:t xml:space="preserve"> часа следоперативно.</w:t>
      </w:r>
    </w:p>
    <w:p w:rsidR="003758B6" w:rsidRPr="004008DE" w:rsidRDefault="003758B6" w:rsidP="00276280">
      <w:pPr>
        <w:pStyle w:val="ListParagraph"/>
        <w:numPr>
          <w:ilvl w:val="0"/>
          <w:numId w:val="20"/>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Всеки от посочените методи за фармакологична профилактика може да се комбинира с механична профилактика (ранна мобилизация, компресивни чорапи </w:t>
      </w:r>
      <w:r w:rsidRPr="004008DE">
        <w:rPr>
          <w:rFonts w:ascii="Times New Roman" w:hAnsi="Times New Roman" w:cs="Times New Roman"/>
          <w:sz w:val="24"/>
          <w:lang w:val="bg-BG"/>
        </w:rPr>
        <w:lastRenderedPageBreak/>
        <w:t>с градирана компресия,  интермитентна пневматична компресия и венозна ходилна помпа), като механичната профилактика може да се прилага и като самостоятелна.</w:t>
      </w:r>
    </w:p>
    <w:p w:rsidR="00AC165C" w:rsidRPr="004008DE" w:rsidRDefault="00AC165C" w:rsidP="00276280">
      <w:pPr>
        <w:spacing w:after="0" w:line="240" w:lineRule="auto"/>
        <w:rPr>
          <w:rFonts w:ascii="Times New Roman" w:hAnsi="Times New Roman" w:cs="Times New Roman"/>
          <w:sz w:val="24"/>
          <w:u w:val="single"/>
          <w:lang w:val="bg-BG"/>
        </w:rPr>
      </w:pPr>
    </w:p>
    <w:p w:rsidR="005F10B6" w:rsidRPr="00DA0BF0" w:rsidRDefault="00DA0BF0" w:rsidP="00276280">
      <w:pPr>
        <w:spacing w:after="0" w:line="240" w:lineRule="auto"/>
        <w:rPr>
          <w:rFonts w:ascii="Times New Roman" w:hAnsi="Times New Roman" w:cs="Times New Roman"/>
          <w:sz w:val="24"/>
          <w:u w:val="single"/>
          <w:lang w:val="bg-BG"/>
        </w:rPr>
      </w:pPr>
      <w:r w:rsidRPr="00276280">
        <w:rPr>
          <w:rFonts w:ascii="Times New Roman" w:hAnsi="Times New Roman" w:cs="Times New Roman"/>
          <w:sz w:val="24"/>
          <w:lang w:val="en-US"/>
        </w:rPr>
        <w:t xml:space="preserve"> </w:t>
      </w:r>
      <w:r w:rsidR="00276280" w:rsidRPr="00276280">
        <w:rPr>
          <w:rFonts w:ascii="Times New Roman" w:hAnsi="Times New Roman" w:cs="Times New Roman"/>
          <w:sz w:val="24"/>
          <w:lang w:val="en-US"/>
        </w:rPr>
        <w:tab/>
      </w:r>
      <w:r>
        <w:rPr>
          <w:rFonts w:ascii="Times New Roman" w:hAnsi="Times New Roman" w:cs="Times New Roman"/>
          <w:sz w:val="24"/>
          <w:u w:val="single"/>
          <w:lang w:val="en-US"/>
        </w:rPr>
        <w:t xml:space="preserve">4.10 </w:t>
      </w:r>
      <w:r w:rsidR="00982DC8" w:rsidRPr="00DA0BF0">
        <w:rPr>
          <w:rFonts w:ascii="Times New Roman" w:hAnsi="Times New Roman" w:cs="Times New Roman"/>
          <w:sz w:val="24"/>
          <w:u w:val="single"/>
          <w:lang w:val="bg-BG"/>
        </w:rPr>
        <w:t>Множествени фрактури</w:t>
      </w:r>
      <w:r w:rsidR="005F10B6" w:rsidRPr="00DA0BF0">
        <w:rPr>
          <w:rFonts w:ascii="Times New Roman" w:hAnsi="Times New Roman" w:cs="Times New Roman"/>
          <w:sz w:val="24"/>
          <w:u w:val="single"/>
          <w:lang w:val="bg-BG"/>
        </w:rPr>
        <w:br/>
      </w:r>
    </w:p>
    <w:p w:rsidR="00CB4DD7" w:rsidRPr="004008DE" w:rsidRDefault="005F10B6" w:rsidP="00276280">
      <w:pPr>
        <w:spacing w:after="0" w:line="240" w:lineRule="auto"/>
        <w:ind w:firstLine="720"/>
        <w:rPr>
          <w:rFonts w:ascii="Times New Roman" w:hAnsi="Times New Roman" w:cs="Times New Roman"/>
          <w:sz w:val="24"/>
          <w:vertAlign w:val="superscript"/>
          <w:lang w:val="bg-BG"/>
        </w:rPr>
      </w:pPr>
      <w:r w:rsidRPr="004008DE">
        <w:rPr>
          <w:rFonts w:ascii="Times New Roman" w:hAnsi="Times New Roman" w:cs="Times New Roman"/>
          <w:sz w:val="24"/>
          <w:lang w:val="bg-BG"/>
        </w:rPr>
        <w:t>Множествените ортопедични травми са сравнително редки без допълнителни извънскелетни увреди, по тази причина няма проучвания в настоящата литература, насочени към профилактика срещу ВТЕ при пациенти с множество фрактури, но без извънскелетни увреди. По- голямата част от наличната литература се отнася до пациенти с изолирана травма, политравма, високоенергийни фрактури и травми на долните крайници.</w:t>
      </w:r>
      <w:r w:rsidR="00565DDA" w:rsidRPr="004008DE">
        <w:rPr>
          <w:rFonts w:ascii="Times New Roman" w:hAnsi="Times New Roman" w:cs="Times New Roman"/>
          <w:sz w:val="24"/>
          <w:vertAlign w:val="superscript"/>
          <w:lang w:val="bg-BG"/>
        </w:rPr>
        <w:t>72-76</w:t>
      </w:r>
      <w:r w:rsidR="006C2776">
        <w:rPr>
          <w:rFonts w:ascii="Times New Roman" w:hAnsi="Times New Roman" w:cs="Times New Roman"/>
          <w:sz w:val="24"/>
          <w:vertAlign w:val="superscript"/>
          <w:lang w:val="bg-BG"/>
        </w:rPr>
        <w:t xml:space="preserve"> </w:t>
      </w:r>
      <w:r w:rsidR="00565DDA" w:rsidRPr="004008DE">
        <w:rPr>
          <w:rFonts w:ascii="Times New Roman" w:hAnsi="Times New Roman" w:cs="Times New Roman"/>
          <w:sz w:val="24"/>
          <w:lang w:val="bg-BG"/>
        </w:rPr>
        <w:t>Все пак, въз основа на литературните данни, най-добра ефикасност по отношение на профилактиката на ВТЕ показват нискомолекулните хепарини</w:t>
      </w:r>
      <w:r w:rsidR="00B27D12" w:rsidRPr="004008DE">
        <w:rPr>
          <w:rFonts w:ascii="Times New Roman" w:hAnsi="Times New Roman" w:cs="Times New Roman"/>
          <w:sz w:val="24"/>
          <w:lang w:val="bg-BG"/>
        </w:rPr>
        <w:t>.</w:t>
      </w:r>
      <w:r w:rsidR="00B27D12" w:rsidRPr="004008DE">
        <w:rPr>
          <w:rFonts w:ascii="Times New Roman" w:hAnsi="Times New Roman" w:cs="Times New Roman"/>
          <w:sz w:val="24"/>
          <w:vertAlign w:val="superscript"/>
          <w:lang w:val="bg-BG"/>
        </w:rPr>
        <w:t>77-83</w:t>
      </w:r>
      <w:r w:rsidR="00B27D12" w:rsidRPr="004008DE">
        <w:rPr>
          <w:rFonts w:ascii="Times New Roman" w:hAnsi="Times New Roman" w:cs="Times New Roman"/>
          <w:sz w:val="24"/>
          <w:lang w:val="bg-BG"/>
        </w:rPr>
        <w:t xml:space="preserve"> Публикация на Rogers et al. за превенция на ВТЕ при травматологични пациенти показва</w:t>
      </w:r>
      <w:r w:rsidR="006C2776">
        <w:rPr>
          <w:rFonts w:ascii="Times New Roman" w:hAnsi="Times New Roman" w:cs="Times New Roman"/>
          <w:sz w:val="24"/>
          <w:lang w:val="bg-BG"/>
        </w:rPr>
        <w:t>,</w:t>
      </w:r>
      <w:r w:rsidR="00B27D12" w:rsidRPr="004008DE">
        <w:rPr>
          <w:rFonts w:ascii="Times New Roman" w:hAnsi="Times New Roman" w:cs="Times New Roman"/>
          <w:sz w:val="24"/>
          <w:lang w:val="bg-BG"/>
        </w:rPr>
        <w:t xml:space="preserve"> че нискомолекулните хепарини имат по-добра бионаличност в сравнение с нефракционирания хепарин в ниска доза.</w:t>
      </w:r>
      <w:r w:rsidR="00B27D12" w:rsidRPr="004008DE">
        <w:rPr>
          <w:rFonts w:ascii="Times New Roman" w:hAnsi="Times New Roman" w:cs="Times New Roman"/>
          <w:sz w:val="24"/>
          <w:vertAlign w:val="superscript"/>
          <w:lang w:val="bg-BG"/>
        </w:rPr>
        <w:t>74</w:t>
      </w:r>
      <w:r w:rsidR="00B27D12" w:rsidRPr="004008DE">
        <w:rPr>
          <w:rFonts w:ascii="Times New Roman" w:hAnsi="Times New Roman" w:cs="Times New Roman"/>
          <w:sz w:val="24"/>
          <w:lang w:val="bg-BG"/>
        </w:rPr>
        <w:t xml:space="preserve"> При пациентите с множествени фрактури може да се използва и механична профилактика, но според няколко проучвания приложението на механична профилактика без </w:t>
      </w:r>
      <w:r w:rsidR="004008DE" w:rsidRPr="004008DE">
        <w:rPr>
          <w:rFonts w:ascii="Times New Roman" w:hAnsi="Times New Roman" w:cs="Times New Roman"/>
          <w:sz w:val="24"/>
          <w:lang w:val="bg-BG"/>
        </w:rPr>
        <w:t>медикаментозна</w:t>
      </w:r>
      <w:r w:rsidR="00B27D12" w:rsidRPr="004008DE">
        <w:rPr>
          <w:rFonts w:ascii="Times New Roman" w:hAnsi="Times New Roman" w:cs="Times New Roman"/>
          <w:sz w:val="24"/>
          <w:lang w:val="bg-BG"/>
        </w:rPr>
        <w:t xml:space="preserve"> профилактика, при липса на </w:t>
      </w:r>
      <w:r w:rsidR="00CB4DD7" w:rsidRPr="004008DE">
        <w:rPr>
          <w:rFonts w:ascii="Times New Roman" w:hAnsi="Times New Roman" w:cs="Times New Roman"/>
          <w:sz w:val="24"/>
          <w:lang w:val="bg-BG"/>
        </w:rPr>
        <w:t>противопоказания</w:t>
      </w:r>
      <w:r w:rsidR="00B27D12" w:rsidRPr="004008DE">
        <w:rPr>
          <w:rFonts w:ascii="Times New Roman" w:hAnsi="Times New Roman" w:cs="Times New Roman"/>
          <w:sz w:val="24"/>
          <w:lang w:val="bg-BG"/>
        </w:rPr>
        <w:t xml:space="preserve"> за медикаментозна профилактика</w:t>
      </w:r>
      <w:r w:rsidR="00CB4DD7" w:rsidRPr="004008DE">
        <w:rPr>
          <w:rFonts w:ascii="Times New Roman" w:hAnsi="Times New Roman" w:cs="Times New Roman"/>
          <w:sz w:val="24"/>
          <w:lang w:val="bg-BG"/>
        </w:rPr>
        <w:t>,</w:t>
      </w:r>
      <w:r w:rsidR="00B27D12" w:rsidRPr="004008DE">
        <w:rPr>
          <w:rFonts w:ascii="Times New Roman" w:hAnsi="Times New Roman" w:cs="Times New Roman"/>
          <w:sz w:val="24"/>
          <w:lang w:val="bg-BG"/>
        </w:rPr>
        <w:t xml:space="preserve"> не сепрепоръчв</w:t>
      </w:r>
      <w:r w:rsidR="00CB4DD7" w:rsidRPr="004008DE">
        <w:rPr>
          <w:rFonts w:ascii="Times New Roman" w:hAnsi="Times New Roman" w:cs="Times New Roman"/>
          <w:sz w:val="24"/>
          <w:lang w:val="bg-BG"/>
        </w:rPr>
        <w:t>а</w:t>
      </w:r>
      <w:r w:rsidR="00B27D12" w:rsidRPr="004008DE">
        <w:rPr>
          <w:rFonts w:ascii="Times New Roman" w:hAnsi="Times New Roman" w:cs="Times New Roman"/>
          <w:sz w:val="24"/>
          <w:lang w:val="bg-BG"/>
        </w:rPr>
        <w:t>.</w:t>
      </w:r>
      <w:r w:rsidR="00CB4DD7" w:rsidRPr="004008DE">
        <w:rPr>
          <w:rFonts w:ascii="Times New Roman" w:hAnsi="Times New Roman" w:cs="Times New Roman"/>
          <w:sz w:val="24"/>
          <w:vertAlign w:val="superscript"/>
          <w:lang w:val="bg-BG"/>
        </w:rPr>
        <w:t>76</w:t>
      </w:r>
    </w:p>
    <w:p w:rsidR="00CB4DD7" w:rsidRPr="004008DE" w:rsidRDefault="00CB4DD7" w:rsidP="00276280">
      <w:pPr>
        <w:spacing w:after="0" w:line="240" w:lineRule="auto"/>
        <w:rPr>
          <w:rFonts w:ascii="Times New Roman" w:hAnsi="Times New Roman" w:cs="Times New Roman"/>
          <w:sz w:val="24"/>
          <w:vertAlign w:val="superscript"/>
          <w:lang w:val="bg-BG"/>
        </w:rPr>
      </w:pPr>
    </w:p>
    <w:p w:rsidR="00CB4DD7" w:rsidRPr="004008DE" w:rsidRDefault="004B472F" w:rsidP="00276280">
      <w:pPr>
        <w:spacing w:after="0" w:line="240" w:lineRule="auto"/>
        <w:ind w:firstLine="720"/>
        <w:rPr>
          <w:rFonts w:ascii="Times New Roman" w:hAnsi="Times New Roman" w:cs="Times New Roman"/>
          <w:sz w:val="24"/>
          <w:lang w:val="bg-BG"/>
        </w:rPr>
      </w:pPr>
      <w:r>
        <w:rPr>
          <w:rFonts w:ascii="Times New Roman" w:hAnsi="Times New Roman" w:cs="Times New Roman"/>
          <w:sz w:val="24"/>
          <w:lang w:val="bg-BG"/>
        </w:rPr>
        <w:t>БОТА препоръчва</w:t>
      </w:r>
      <w:r w:rsidR="00CB4DD7" w:rsidRPr="004008DE">
        <w:rPr>
          <w:rFonts w:ascii="Times New Roman" w:hAnsi="Times New Roman" w:cs="Times New Roman"/>
          <w:sz w:val="24"/>
          <w:lang w:val="bg-BG"/>
        </w:rPr>
        <w:t xml:space="preserve"> следните режими за профилактика:</w:t>
      </w:r>
    </w:p>
    <w:p w:rsidR="00CB4DD7" w:rsidRPr="004008DE" w:rsidRDefault="00CB4DD7" w:rsidP="00276280">
      <w:pPr>
        <w:spacing w:after="0" w:line="240" w:lineRule="auto"/>
        <w:rPr>
          <w:rFonts w:ascii="Times New Roman" w:hAnsi="Times New Roman" w:cs="Times New Roman"/>
          <w:sz w:val="24"/>
          <w:lang w:val="bg-BG"/>
        </w:rPr>
      </w:pPr>
    </w:p>
    <w:p w:rsidR="00CB4DD7" w:rsidRPr="004008DE" w:rsidRDefault="00CB4DD7" w:rsidP="00276280">
      <w:pPr>
        <w:pStyle w:val="ListParagraph"/>
        <w:numPr>
          <w:ilvl w:val="0"/>
          <w:numId w:val="18"/>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в продължение на 30 дни, като първата доза се прилага при хоспитализацията, приложението се спира </w:t>
      </w:r>
      <w:r w:rsidR="00862AC3">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 </w:t>
      </w:r>
      <w:r w:rsidR="006C2776">
        <w:rPr>
          <w:rFonts w:ascii="Times New Roman" w:hAnsi="Times New Roman" w:cs="Times New Roman"/>
          <w:sz w:val="24"/>
          <w:lang w:val="bg-BG"/>
        </w:rPr>
        <w:t xml:space="preserve">6-12 </w:t>
      </w:r>
      <w:r w:rsidRPr="004008DE">
        <w:rPr>
          <w:rFonts w:ascii="Times New Roman" w:hAnsi="Times New Roman" w:cs="Times New Roman"/>
          <w:sz w:val="24"/>
          <w:lang w:val="bg-BG"/>
        </w:rPr>
        <w:t>часа следоперативно.</w:t>
      </w:r>
    </w:p>
    <w:p w:rsidR="00CB4DD7" w:rsidRPr="004008DE" w:rsidRDefault="00CB4DD7" w:rsidP="00276280">
      <w:pPr>
        <w:pStyle w:val="ListParagraph"/>
        <w:numPr>
          <w:ilvl w:val="0"/>
          <w:numId w:val="18"/>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Когато поне една от фрактурите е на таз или долен крайник - фондапаринукс (Арикстра) в стандартна профилактична доза (2,5 mg/0,5 ml/24 часа) в продължение на 30 дни, като първата доза се прилага при хоспитализацията, приложението се спира </w:t>
      </w:r>
      <w:r w:rsidR="00862AC3">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предоперативно, а първата следоперативна доза – </w:t>
      </w:r>
      <w:r w:rsidR="00862AC3">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r w:rsidRPr="004008DE">
        <w:rPr>
          <w:rFonts w:ascii="Times New Roman" w:hAnsi="Times New Roman" w:cs="Times New Roman"/>
          <w:sz w:val="24"/>
          <w:vertAlign w:val="superscript"/>
          <w:lang w:val="bg-BG"/>
        </w:rPr>
        <w:t>63</w:t>
      </w:r>
      <w:r w:rsidRPr="004008DE">
        <w:rPr>
          <w:rFonts w:ascii="Times New Roman" w:hAnsi="Times New Roman" w:cs="Times New Roman"/>
          <w:sz w:val="24"/>
          <w:lang w:val="bg-BG"/>
        </w:rPr>
        <w:t>.</w:t>
      </w:r>
    </w:p>
    <w:p w:rsidR="00CB4DD7" w:rsidRPr="002221C2" w:rsidRDefault="00CB4DD7" w:rsidP="00276280">
      <w:pPr>
        <w:pStyle w:val="ListParagraph"/>
        <w:numPr>
          <w:ilvl w:val="0"/>
          <w:numId w:val="18"/>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Всеки от посочените методи за фармакологична профилактика може да се комбинира с механична профилактика (ранна мобилизация,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w:t>
      </w:r>
      <w:r w:rsidRPr="002221C2">
        <w:rPr>
          <w:rFonts w:ascii="Times New Roman" w:hAnsi="Times New Roman" w:cs="Times New Roman"/>
          <w:sz w:val="24"/>
          <w:lang w:val="bg-BG"/>
        </w:rPr>
        <w:t>самостоятелна.</w:t>
      </w:r>
    </w:p>
    <w:p w:rsidR="00CB4DD7" w:rsidRPr="002221C2" w:rsidRDefault="00CB4DD7" w:rsidP="00276280">
      <w:pPr>
        <w:pStyle w:val="ListParagraph"/>
        <w:numPr>
          <w:ilvl w:val="0"/>
          <w:numId w:val="18"/>
        </w:numPr>
        <w:spacing w:after="0" w:line="240" w:lineRule="auto"/>
        <w:ind w:left="567" w:hanging="567"/>
        <w:rPr>
          <w:rFonts w:ascii="Times New Roman" w:hAnsi="Times New Roman" w:cs="Times New Roman"/>
          <w:b/>
          <w:i/>
          <w:sz w:val="24"/>
          <w:lang w:val="bg-BG"/>
        </w:rPr>
      </w:pPr>
      <w:r w:rsidRPr="002221C2">
        <w:rPr>
          <w:rFonts w:ascii="Times New Roman" w:hAnsi="Times New Roman" w:cs="Times New Roman"/>
          <w:b/>
          <w:i/>
          <w:sz w:val="24"/>
          <w:lang w:val="bg-BG"/>
        </w:rPr>
        <w:t>Не препоръчваме аспирин като монотерапия за профилактика на ВТЕ</w:t>
      </w:r>
    </w:p>
    <w:p w:rsidR="005F10B6" w:rsidRPr="00862AC3" w:rsidRDefault="005F10B6" w:rsidP="00276280">
      <w:pPr>
        <w:spacing w:after="0" w:line="240" w:lineRule="auto"/>
        <w:rPr>
          <w:rFonts w:ascii="Times New Roman" w:hAnsi="Times New Roman" w:cs="Times New Roman"/>
          <w:b/>
          <w:i/>
          <w:sz w:val="24"/>
          <w:lang w:val="bg-BG"/>
        </w:rPr>
      </w:pPr>
      <w:r w:rsidRPr="00862AC3">
        <w:rPr>
          <w:rFonts w:ascii="Times New Roman" w:hAnsi="Times New Roman" w:cs="Times New Roman"/>
          <w:b/>
          <w:i/>
          <w:sz w:val="24"/>
          <w:lang w:val="bg-BG"/>
        </w:rPr>
        <w:br/>
      </w:r>
    </w:p>
    <w:p w:rsidR="00535526" w:rsidRPr="00DA0BF0" w:rsidRDefault="00DA0BF0" w:rsidP="00276280">
      <w:pPr>
        <w:spacing w:after="0" w:line="240" w:lineRule="auto"/>
        <w:ind w:firstLine="567"/>
        <w:rPr>
          <w:rFonts w:ascii="Times New Roman" w:hAnsi="Times New Roman" w:cs="Times New Roman"/>
          <w:sz w:val="24"/>
          <w:u w:val="single"/>
          <w:lang w:val="bg-BG"/>
        </w:rPr>
      </w:pPr>
      <w:r>
        <w:rPr>
          <w:rFonts w:ascii="Times New Roman" w:hAnsi="Times New Roman" w:cs="Times New Roman"/>
          <w:sz w:val="24"/>
          <w:u w:val="single"/>
          <w:lang w:val="en-US"/>
        </w:rPr>
        <w:t>4.11</w:t>
      </w:r>
      <w:r w:rsidR="0082414C" w:rsidRPr="00DA0BF0">
        <w:rPr>
          <w:rFonts w:ascii="Times New Roman" w:hAnsi="Times New Roman" w:cs="Times New Roman"/>
          <w:sz w:val="24"/>
          <w:u w:val="single"/>
          <w:lang w:val="bg-BG"/>
        </w:rPr>
        <w:t xml:space="preserve"> </w:t>
      </w:r>
      <w:r w:rsidR="00982DC8" w:rsidRPr="00DA0BF0">
        <w:rPr>
          <w:rFonts w:ascii="Times New Roman" w:hAnsi="Times New Roman" w:cs="Times New Roman"/>
          <w:sz w:val="24"/>
          <w:u w:val="single"/>
          <w:lang w:val="bg-BG"/>
        </w:rPr>
        <w:t>Политравма</w:t>
      </w:r>
      <w:r w:rsidR="006D036D" w:rsidRPr="00DA0BF0">
        <w:rPr>
          <w:rFonts w:ascii="Times New Roman" w:hAnsi="Times New Roman" w:cs="Times New Roman"/>
          <w:sz w:val="24"/>
          <w:u w:val="single"/>
          <w:lang w:val="bg-BG"/>
        </w:rPr>
        <w:br/>
      </w:r>
    </w:p>
    <w:p w:rsidR="00922BFB" w:rsidRPr="004008DE" w:rsidRDefault="00535526"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При пациентите с политравма рискът за ВТЕ е относително висок</w:t>
      </w:r>
      <w:r w:rsidR="006D036D" w:rsidRPr="004008DE">
        <w:rPr>
          <w:rFonts w:ascii="Times New Roman" w:hAnsi="Times New Roman" w:cs="Times New Roman"/>
          <w:sz w:val="24"/>
          <w:lang w:val="bg-BG"/>
        </w:rPr>
        <w:t>, но в различните травма-центрове съществуват значителни различия в подхода към профилактиката.</w:t>
      </w:r>
      <w:r w:rsidR="006D036D" w:rsidRPr="004008DE">
        <w:rPr>
          <w:rFonts w:ascii="Times New Roman" w:hAnsi="Times New Roman" w:cs="Times New Roman"/>
          <w:sz w:val="24"/>
          <w:vertAlign w:val="superscript"/>
          <w:lang w:val="bg-BG"/>
        </w:rPr>
        <w:t>93,94</w:t>
      </w:r>
      <w:r w:rsidR="00276280">
        <w:rPr>
          <w:rFonts w:ascii="Times New Roman" w:hAnsi="Times New Roman" w:cs="Times New Roman"/>
          <w:sz w:val="24"/>
          <w:vertAlign w:val="superscript"/>
          <w:lang w:val="bg-BG"/>
        </w:rPr>
        <w:t xml:space="preserve"> </w:t>
      </w:r>
      <w:r w:rsidR="006D036D" w:rsidRPr="004008DE">
        <w:rPr>
          <w:rFonts w:ascii="Times New Roman" w:hAnsi="Times New Roman" w:cs="Times New Roman"/>
          <w:sz w:val="24"/>
          <w:lang w:val="bg-BG"/>
        </w:rPr>
        <w:t xml:space="preserve">При пациентите със скелетна и висцерална травма </w:t>
      </w:r>
      <w:r w:rsidR="00922BFB" w:rsidRPr="004008DE">
        <w:rPr>
          <w:rFonts w:ascii="Times New Roman" w:hAnsi="Times New Roman" w:cs="Times New Roman"/>
          <w:sz w:val="24"/>
          <w:lang w:val="bg-BG"/>
        </w:rPr>
        <w:t xml:space="preserve">съществува опасение, че ранното започване на профилактика с нискомолекулен хепарин може да увеличи риска за хеморагия от паренхимните органи. Rostas et al. обаче установяват, че </w:t>
      </w:r>
      <w:r w:rsidR="00922BFB" w:rsidRPr="004008DE">
        <w:rPr>
          <w:rFonts w:ascii="Times New Roman" w:hAnsi="Times New Roman" w:cs="Times New Roman"/>
          <w:sz w:val="24"/>
          <w:lang w:val="bg-BG"/>
        </w:rPr>
        <w:lastRenderedPageBreak/>
        <w:t>ранната антикоагулантна тромбопрофилактика при пациенти с чернодробна травма или травма на слезката е безопасна и е свързана с намаляване риска за възникване на ВТЕ.</w:t>
      </w:r>
      <w:r w:rsidR="00922BFB" w:rsidRPr="004008DE">
        <w:rPr>
          <w:rFonts w:ascii="Times New Roman" w:hAnsi="Times New Roman" w:cs="Times New Roman"/>
          <w:sz w:val="24"/>
          <w:vertAlign w:val="superscript"/>
          <w:lang w:val="bg-BG"/>
        </w:rPr>
        <w:t>95</w:t>
      </w:r>
    </w:p>
    <w:p w:rsidR="0016137F" w:rsidRPr="004008DE" w:rsidRDefault="00922BFB" w:rsidP="00276280">
      <w:pPr>
        <w:spacing w:after="0" w:line="240" w:lineRule="auto"/>
        <w:ind w:firstLine="567"/>
        <w:rPr>
          <w:rFonts w:ascii="Times New Roman" w:hAnsi="Times New Roman" w:cs="Times New Roman"/>
          <w:sz w:val="24"/>
          <w:vertAlign w:val="superscript"/>
          <w:lang w:val="bg-BG"/>
        </w:rPr>
      </w:pPr>
      <w:r w:rsidRPr="004008DE">
        <w:rPr>
          <w:rFonts w:ascii="Times New Roman" w:hAnsi="Times New Roman" w:cs="Times New Roman"/>
          <w:sz w:val="24"/>
          <w:lang w:val="bg-BG"/>
        </w:rPr>
        <w:t>Макар черепно-мозъчната травма да представлява рисков фактор за развитие на ВТЕ, започването на антитромботична профилактика понякога се отлага поради риска за прогресия на вътречерепната хеморагия. Само едно проучване съобщава за по-голям риск от вътречерепна хеморагия, свързан с ранна антикоагулантна тромбопрофилактика</w:t>
      </w:r>
      <w:r w:rsidRPr="004008DE">
        <w:rPr>
          <w:rFonts w:ascii="Times New Roman" w:hAnsi="Times New Roman" w:cs="Times New Roman"/>
          <w:sz w:val="24"/>
          <w:vertAlign w:val="superscript"/>
          <w:lang w:val="bg-BG"/>
        </w:rPr>
        <w:t>96</w:t>
      </w:r>
      <w:r w:rsidRPr="004008DE">
        <w:rPr>
          <w:rFonts w:ascii="Times New Roman" w:hAnsi="Times New Roman" w:cs="Times New Roman"/>
          <w:sz w:val="24"/>
          <w:lang w:val="bg-BG"/>
        </w:rPr>
        <w:t>, докато голям брой проучвания  не отчитат такава зависимост.</w:t>
      </w:r>
      <w:r w:rsidRPr="004008DE">
        <w:rPr>
          <w:rFonts w:ascii="Times New Roman" w:hAnsi="Times New Roman" w:cs="Times New Roman"/>
          <w:sz w:val="24"/>
          <w:vertAlign w:val="superscript"/>
          <w:lang w:val="bg-BG"/>
        </w:rPr>
        <w:t>96</w:t>
      </w:r>
      <w:r w:rsidR="0016137F" w:rsidRPr="004008DE">
        <w:rPr>
          <w:rFonts w:ascii="Times New Roman" w:hAnsi="Times New Roman" w:cs="Times New Roman"/>
          <w:sz w:val="24"/>
          <w:vertAlign w:val="superscript"/>
          <w:lang w:val="bg-BG"/>
        </w:rPr>
        <w:noBreakHyphen/>
        <w:t xml:space="preserve">105 </w:t>
      </w:r>
      <w:r w:rsidRPr="004008DE">
        <w:rPr>
          <w:rFonts w:ascii="Times New Roman" w:hAnsi="Times New Roman" w:cs="Times New Roman"/>
          <w:sz w:val="24"/>
          <w:lang w:val="bg-BG"/>
        </w:rPr>
        <w:t>Сред 1803 пациенти с умерена или тежка ЧМТ (</w:t>
      </w:r>
      <w:r w:rsidR="0016137F" w:rsidRPr="004008DE">
        <w:rPr>
          <w:rFonts w:ascii="Times New Roman" w:hAnsi="Times New Roman" w:cs="Times New Roman"/>
          <w:sz w:val="24"/>
          <w:lang w:val="bg-BG"/>
        </w:rPr>
        <w:t>H</w:t>
      </w:r>
      <w:r w:rsidRPr="004008DE">
        <w:rPr>
          <w:rFonts w:ascii="Times New Roman" w:hAnsi="Times New Roman" w:cs="Times New Roman"/>
          <w:sz w:val="24"/>
          <w:lang w:val="bg-BG"/>
        </w:rPr>
        <w:t>ead Abbreviated</w:t>
      </w:r>
      <w:r w:rsidR="002221C2">
        <w:rPr>
          <w:rFonts w:ascii="Times New Roman" w:hAnsi="Times New Roman" w:cs="Times New Roman"/>
          <w:sz w:val="24"/>
          <w:lang w:val="bg-BG"/>
        </w:rPr>
        <w:t xml:space="preserve"> </w:t>
      </w:r>
      <w:r w:rsidRPr="004008DE">
        <w:rPr>
          <w:rFonts w:ascii="Times New Roman" w:hAnsi="Times New Roman" w:cs="Times New Roman"/>
          <w:sz w:val="24"/>
          <w:lang w:val="bg-BG"/>
        </w:rPr>
        <w:t>Injury Scale &gt; 2), пациентите, при които е започната</w:t>
      </w:r>
      <w:r w:rsidR="002221C2">
        <w:rPr>
          <w:rFonts w:ascii="Times New Roman" w:hAnsi="Times New Roman" w:cs="Times New Roman"/>
          <w:sz w:val="24"/>
          <w:lang w:val="bg-BG"/>
        </w:rPr>
        <w:t xml:space="preserve"> </w:t>
      </w:r>
      <w:r w:rsidRPr="004008DE">
        <w:rPr>
          <w:rFonts w:ascii="Times New Roman" w:hAnsi="Times New Roman" w:cs="Times New Roman"/>
          <w:sz w:val="24"/>
          <w:lang w:val="bg-BG"/>
        </w:rPr>
        <w:t>антикоагулантна тромбопрофилактика в рамките на 48 часа след</w:t>
      </w:r>
      <w:r w:rsidR="002221C2">
        <w:rPr>
          <w:rFonts w:ascii="Times New Roman" w:hAnsi="Times New Roman" w:cs="Times New Roman"/>
          <w:sz w:val="24"/>
          <w:lang w:val="bg-BG"/>
        </w:rPr>
        <w:t xml:space="preserve"> </w:t>
      </w:r>
      <w:r w:rsidRPr="004008DE">
        <w:rPr>
          <w:rFonts w:ascii="Times New Roman" w:hAnsi="Times New Roman" w:cs="Times New Roman"/>
          <w:sz w:val="24"/>
          <w:lang w:val="bg-BG"/>
        </w:rPr>
        <w:t>нараняването</w:t>
      </w:r>
      <w:r w:rsidR="004008DE">
        <w:rPr>
          <w:rFonts w:ascii="Times New Roman" w:hAnsi="Times New Roman" w:cs="Times New Roman"/>
          <w:sz w:val="24"/>
          <w:lang w:val="bg-BG"/>
        </w:rPr>
        <w:t>,</w:t>
      </w:r>
      <w:r w:rsidRPr="004008DE">
        <w:rPr>
          <w:rFonts w:ascii="Times New Roman" w:hAnsi="Times New Roman" w:cs="Times New Roman"/>
          <w:sz w:val="24"/>
          <w:lang w:val="bg-BG"/>
        </w:rPr>
        <w:t xml:space="preserve"> са били три пъти по-малко склонни да развият ВТЕ</w:t>
      </w:r>
      <w:r w:rsidR="002221C2">
        <w:rPr>
          <w:rFonts w:ascii="Times New Roman" w:hAnsi="Times New Roman" w:cs="Times New Roman"/>
          <w:sz w:val="24"/>
          <w:lang w:val="bg-BG"/>
        </w:rPr>
        <w:t xml:space="preserve"> </w:t>
      </w:r>
      <w:r w:rsidRPr="004008DE">
        <w:rPr>
          <w:rFonts w:ascii="Times New Roman" w:hAnsi="Times New Roman" w:cs="Times New Roman"/>
          <w:sz w:val="24"/>
          <w:lang w:val="bg-BG"/>
        </w:rPr>
        <w:t>от тези, които са тромбопрофилактирани по-късно, без да се</w:t>
      </w:r>
      <w:r w:rsidR="002221C2">
        <w:rPr>
          <w:rFonts w:ascii="Times New Roman" w:hAnsi="Times New Roman" w:cs="Times New Roman"/>
          <w:sz w:val="24"/>
          <w:lang w:val="bg-BG"/>
        </w:rPr>
        <w:t xml:space="preserve"> </w:t>
      </w:r>
      <w:r w:rsidRPr="004008DE">
        <w:rPr>
          <w:rFonts w:ascii="Times New Roman" w:hAnsi="Times New Roman" w:cs="Times New Roman"/>
          <w:sz w:val="24"/>
          <w:lang w:val="bg-BG"/>
        </w:rPr>
        <w:t>наб</w:t>
      </w:r>
      <w:r w:rsidR="0016137F" w:rsidRPr="004008DE">
        <w:rPr>
          <w:rFonts w:ascii="Times New Roman" w:hAnsi="Times New Roman" w:cs="Times New Roman"/>
          <w:sz w:val="24"/>
          <w:lang w:val="bg-BG"/>
        </w:rPr>
        <w:t>людава повишен риск от кървене</w:t>
      </w:r>
      <w:r w:rsidRPr="004008DE">
        <w:rPr>
          <w:rFonts w:ascii="Times New Roman" w:hAnsi="Times New Roman" w:cs="Times New Roman"/>
          <w:sz w:val="24"/>
          <w:lang w:val="bg-BG"/>
        </w:rPr>
        <w:t>.</w:t>
      </w:r>
      <w:r w:rsidR="0016137F" w:rsidRPr="004008DE">
        <w:rPr>
          <w:rFonts w:ascii="Times New Roman" w:hAnsi="Times New Roman" w:cs="Times New Roman"/>
          <w:sz w:val="24"/>
          <w:vertAlign w:val="superscript"/>
          <w:lang w:val="bg-BG"/>
        </w:rPr>
        <w:t>97</w:t>
      </w:r>
      <w:r w:rsidR="0016137F" w:rsidRPr="004008DE">
        <w:rPr>
          <w:rFonts w:ascii="Times New Roman" w:hAnsi="Times New Roman" w:cs="Times New Roman"/>
          <w:sz w:val="24"/>
          <w:lang w:val="bg-BG"/>
        </w:rPr>
        <w:t xml:space="preserve"> Проучването Trauma Quality Improvement Project (TQIP), обхващащо 2468 пациенти с тежка ЧМТ, съпоставя пациенти, получили ранна (&lt; 72 часа) или късна (&gt;72 часа) тромбопрофилактика. Групата на ранно профилактираните пациенти е била с по-нисък риск за развитие на белодробна тромбоемболия и ДВТ, без повишаване на смъртността и нуждата от неврохирургична интервенция.</w:t>
      </w:r>
      <w:r w:rsidR="0016137F" w:rsidRPr="004008DE">
        <w:rPr>
          <w:rFonts w:ascii="Times New Roman" w:hAnsi="Times New Roman" w:cs="Times New Roman"/>
          <w:sz w:val="24"/>
          <w:vertAlign w:val="superscript"/>
          <w:lang w:val="bg-BG"/>
        </w:rPr>
        <w:t>97</w:t>
      </w:r>
    </w:p>
    <w:p w:rsidR="00276280" w:rsidRDefault="0016137F" w:rsidP="00276280">
      <w:pPr>
        <w:spacing w:after="0" w:line="240" w:lineRule="auto"/>
        <w:ind w:firstLine="567"/>
        <w:rPr>
          <w:rFonts w:ascii="Times New Roman" w:hAnsi="Times New Roman" w:cs="Times New Roman"/>
          <w:sz w:val="24"/>
          <w:vertAlign w:val="superscript"/>
          <w:lang w:val="bg-BG"/>
        </w:rPr>
      </w:pPr>
      <w:r w:rsidRPr="004008DE">
        <w:rPr>
          <w:rFonts w:ascii="Times New Roman" w:hAnsi="Times New Roman" w:cs="Times New Roman"/>
          <w:sz w:val="24"/>
          <w:lang w:val="bg-BG"/>
        </w:rPr>
        <w:t xml:space="preserve">Сходни съображения съществуват и при пациентите с травма на вътрекоремни и вътрегръдни паренхимни органи. </w:t>
      </w:r>
      <w:r w:rsidR="00B4118F" w:rsidRPr="004008DE">
        <w:rPr>
          <w:rFonts w:ascii="Times New Roman" w:hAnsi="Times New Roman" w:cs="Times New Roman"/>
          <w:sz w:val="24"/>
          <w:lang w:val="bg-BG"/>
        </w:rPr>
        <w:t>Базата данни на American College of Surgeons е използвана за идентифициране на 36 187 пациенти с неоперативно лекувани травми на паренхимни органи за период от две години. Групата пациенти, получили тромбопрофилактика в рамките на 48 часа, е била със значително по-малко случаи на ДВТ и БТЕ, отколкото група</w:t>
      </w:r>
      <w:r w:rsidR="00725315">
        <w:rPr>
          <w:rFonts w:ascii="Times New Roman" w:hAnsi="Times New Roman" w:cs="Times New Roman"/>
          <w:sz w:val="24"/>
          <w:lang w:val="bg-BG"/>
        </w:rPr>
        <w:t>та</w:t>
      </w:r>
      <w:r w:rsidR="00B4118F" w:rsidRPr="004008DE">
        <w:rPr>
          <w:rFonts w:ascii="Times New Roman" w:hAnsi="Times New Roman" w:cs="Times New Roman"/>
          <w:sz w:val="24"/>
          <w:lang w:val="bg-BG"/>
        </w:rPr>
        <w:t>, в която тромбопрофилактиката е започната по-късно, без необходимостта от хемотрансфузии или рискът за кървене да са се увеличили.</w:t>
      </w:r>
      <w:r w:rsidR="00B4118F" w:rsidRPr="004008DE">
        <w:rPr>
          <w:rFonts w:ascii="Times New Roman" w:hAnsi="Times New Roman" w:cs="Times New Roman"/>
          <w:sz w:val="24"/>
          <w:vertAlign w:val="superscript"/>
          <w:lang w:val="bg-BG"/>
        </w:rPr>
        <w:t>106</w:t>
      </w:r>
    </w:p>
    <w:p w:rsidR="0016137F" w:rsidRPr="00862AC3" w:rsidRDefault="00B4118F" w:rsidP="00276280">
      <w:pPr>
        <w:spacing w:after="0" w:line="240" w:lineRule="auto"/>
        <w:ind w:firstLine="567"/>
        <w:rPr>
          <w:rFonts w:ascii="Times New Roman" w:hAnsi="Times New Roman" w:cs="Times New Roman"/>
          <w:b/>
          <w:i/>
          <w:sz w:val="24"/>
          <w:u w:val="single"/>
          <w:lang w:val="bg-BG"/>
        </w:rPr>
      </w:pPr>
      <w:r w:rsidRPr="00862AC3">
        <w:rPr>
          <w:rFonts w:ascii="Times New Roman" w:hAnsi="Times New Roman" w:cs="Times New Roman"/>
          <w:b/>
          <w:i/>
          <w:sz w:val="24"/>
          <w:lang w:val="bg-BG"/>
        </w:rPr>
        <w:t>Консенсусът на AAST (American Association for the Surgery of Trauma) от 2021 г. препоръчва приложението на нискомолекулен хепарин да започне в рамките на 48 часа след травмата на паренхимни органи, ако има данни, че активното кървене е овладяно.</w:t>
      </w:r>
      <w:r w:rsidRPr="00862AC3">
        <w:rPr>
          <w:rFonts w:ascii="Times New Roman" w:hAnsi="Times New Roman" w:cs="Times New Roman"/>
          <w:b/>
          <w:i/>
          <w:sz w:val="24"/>
          <w:vertAlign w:val="superscript"/>
          <w:lang w:val="bg-BG"/>
        </w:rPr>
        <w:t>107</w:t>
      </w:r>
    </w:p>
    <w:p w:rsidR="00B4118F" w:rsidRPr="004008DE" w:rsidRDefault="00B4118F"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 xml:space="preserve">При пациентите с политравма рискът от кървене е най-висок в ранния период след травмата. Първоначалният приоритет при такива пациенти е да се контролира активното кървене. Рискът за ВТЕ също започва </w:t>
      </w:r>
      <w:r w:rsidR="00E81331">
        <w:rPr>
          <w:rFonts w:ascii="Times New Roman" w:hAnsi="Times New Roman" w:cs="Times New Roman"/>
          <w:sz w:val="24"/>
          <w:lang w:val="bg-BG"/>
        </w:rPr>
        <w:t>да нара</w:t>
      </w:r>
      <w:r w:rsidRPr="004008DE">
        <w:rPr>
          <w:rFonts w:ascii="Times New Roman" w:hAnsi="Times New Roman" w:cs="Times New Roman"/>
          <w:sz w:val="24"/>
          <w:lang w:val="bg-BG"/>
        </w:rPr>
        <w:t xml:space="preserve">ства скоро след травмата, въпреки че клинично значимата тромбоза обикновено се забавя. Както ВТЕ, така и рискът от кървене се модифицират зависимост от комбинацията на фрактури и неортопедични висцерални травми. Пациентите с ортопедични травми са изложени на относително висок риск от ВТЕ, докато рискът от кървене обикновено зависи от съпътстващите висцерални и </w:t>
      </w:r>
      <w:r w:rsidR="004008DE">
        <w:rPr>
          <w:rFonts w:ascii="Times New Roman" w:hAnsi="Times New Roman" w:cs="Times New Roman"/>
          <w:sz w:val="24"/>
          <w:lang w:val="bg-BG"/>
        </w:rPr>
        <w:t>черепномозъчни</w:t>
      </w:r>
      <w:r w:rsidRPr="004008DE">
        <w:rPr>
          <w:rFonts w:ascii="Times New Roman" w:hAnsi="Times New Roman" w:cs="Times New Roman"/>
          <w:sz w:val="24"/>
          <w:lang w:val="bg-BG"/>
        </w:rPr>
        <w:t xml:space="preserve"> травми. В заключение, отлагането на антикоагулантна</w:t>
      </w:r>
      <w:r w:rsidR="00E419C5" w:rsidRPr="004008DE">
        <w:rPr>
          <w:rFonts w:ascii="Times New Roman" w:hAnsi="Times New Roman" w:cs="Times New Roman"/>
          <w:sz w:val="24"/>
          <w:lang w:val="bg-BG"/>
        </w:rPr>
        <w:t>та</w:t>
      </w:r>
      <w:r w:rsidRPr="004008DE">
        <w:rPr>
          <w:rFonts w:ascii="Times New Roman" w:hAnsi="Times New Roman" w:cs="Times New Roman"/>
          <w:sz w:val="24"/>
          <w:lang w:val="bg-BG"/>
        </w:rPr>
        <w:t xml:space="preserve"> тромбопрофилактика е свързано с повишаване риска от ВТЕ. В</w:t>
      </w:r>
    </w:p>
    <w:p w:rsidR="00E419C5" w:rsidRPr="004008DE" w:rsidRDefault="00B4118F" w:rsidP="00276280">
      <w:pPr>
        <w:spacing w:after="0" w:line="240" w:lineRule="auto"/>
        <w:rPr>
          <w:rFonts w:ascii="Times New Roman" w:hAnsi="Times New Roman" w:cs="Times New Roman"/>
          <w:sz w:val="24"/>
          <w:lang w:val="bg-BG"/>
        </w:rPr>
      </w:pPr>
      <w:r w:rsidRPr="004008DE">
        <w:rPr>
          <w:rFonts w:ascii="Times New Roman" w:hAnsi="Times New Roman" w:cs="Times New Roman"/>
          <w:sz w:val="24"/>
          <w:lang w:val="bg-BG"/>
        </w:rPr>
        <w:t>същото време, ранното иницииране на антикоагулантна тромбопрофилактика не е свързано с повишен риск от кървене при пациенти с висцерални травми и ЧМТ, когато има доказателства за липса на активно кървене.</w:t>
      </w:r>
      <w:r w:rsidR="00F2405C" w:rsidRPr="004008DE">
        <w:rPr>
          <w:rFonts w:ascii="Times New Roman" w:hAnsi="Times New Roman" w:cs="Times New Roman"/>
          <w:sz w:val="24"/>
          <w:lang w:val="bg-BG"/>
        </w:rPr>
        <w:br/>
      </w:r>
    </w:p>
    <w:p w:rsidR="00E419C5" w:rsidRPr="004008DE" w:rsidRDefault="004B472F" w:rsidP="00DA4B6B">
      <w:pPr>
        <w:spacing w:after="0" w:line="240" w:lineRule="auto"/>
        <w:ind w:left="567"/>
        <w:rPr>
          <w:rFonts w:ascii="Times New Roman" w:hAnsi="Times New Roman" w:cs="Times New Roman"/>
          <w:sz w:val="24"/>
          <w:lang w:val="bg-BG"/>
        </w:rPr>
      </w:pPr>
      <w:r>
        <w:rPr>
          <w:rFonts w:ascii="Times New Roman" w:hAnsi="Times New Roman" w:cs="Times New Roman"/>
          <w:sz w:val="24"/>
          <w:lang w:val="bg-BG"/>
        </w:rPr>
        <w:t>БОТА препоръчва</w:t>
      </w:r>
      <w:r w:rsidR="00E419C5" w:rsidRPr="004008DE">
        <w:rPr>
          <w:rFonts w:ascii="Times New Roman" w:hAnsi="Times New Roman" w:cs="Times New Roman"/>
          <w:sz w:val="24"/>
          <w:lang w:val="bg-BG"/>
        </w:rPr>
        <w:t xml:space="preserve"> следните режими за профилактика:</w:t>
      </w:r>
    </w:p>
    <w:p w:rsidR="002862D6" w:rsidRPr="004008DE" w:rsidRDefault="002862D6" w:rsidP="00276280">
      <w:pPr>
        <w:spacing w:after="0" w:line="240" w:lineRule="auto"/>
        <w:ind w:left="567" w:hanging="567"/>
        <w:rPr>
          <w:rFonts w:ascii="Times New Roman" w:hAnsi="Times New Roman" w:cs="Times New Roman"/>
          <w:sz w:val="24"/>
          <w:lang w:val="bg-BG"/>
        </w:rPr>
      </w:pPr>
    </w:p>
    <w:p w:rsidR="002862D6" w:rsidRPr="00535380" w:rsidRDefault="002862D6" w:rsidP="00276280">
      <w:pPr>
        <w:pStyle w:val="ListParagraph"/>
        <w:numPr>
          <w:ilvl w:val="0"/>
          <w:numId w:val="21"/>
        </w:numPr>
        <w:spacing w:after="0" w:line="240" w:lineRule="auto"/>
        <w:ind w:left="567" w:hanging="567"/>
        <w:rPr>
          <w:rFonts w:ascii="Times New Roman" w:hAnsi="Times New Roman" w:cs="Times New Roman"/>
          <w:sz w:val="24"/>
          <w:lang w:val="bg-BG"/>
        </w:rPr>
      </w:pPr>
      <w:r w:rsidRPr="00E81331">
        <w:rPr>
          <w:rFonts w:ascii="Times New Roman" w:hAnsi="Times New Roman" w:cs="Times New Roman"/>
          <w:sz w:val="24"/>
          <w:lang w:val="bg-BG"/>
        </w:rPr>
        <w:t>Нискомолекулен хепарин в стандартна профилактична доза (Клексан 0,4 ml/24 часа</w:t>
      </w:r>
      <w:r w:rsidRPr="00E81331">
        <w:rPr>
          <w:rFonts w:ascii="Times New Roman" w:hAnsi="Times New Roman" w:cs="Times New Roman"/>
          <w:sz w:val="24"/>
          <w:vertAlign w:val="superscript"/>
          <w:lang w:val="bg-BG"/>
        </w:rPr>
        <w:t>64</w:t>
      </w:r>
      <w:r w:rsidRPr="00E81331">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E81331">
        <w:rPr>
          <w:rFonts w:ascii="Times New Roman" w:hAnsi="Times New Roman" w:cs="Times New Roman"/>
          <w:sz w:val="24"/>
          <w:vertAlign w:val="superscript"/>
          <w:lang w:val="bg-BG"/>
        </w:rPr>
        <w:t>62</w:t>
      </w:r>
      <w:r w:rsidRPr="00E81331">
        <w:rPr>
          <w:rFonts w:ascii="Times New Roman" w:hAnsi="Times New Roman" w:cs="Times New Roman"/>
          <w:sz w:val="24"/>
          <w:lang w:val="bg-BG"/>
        </w:rPr>
        <w:t xml:space="preserve">) в продължение на </w:t>
      </w:r>
      <w:r w:rsidR="00F36432" w:rsidRPr="00E81331">
        <w:rPr>
          <w:rFonts w:ascii="Times New Roman" w:hAnsi="Times New Roman" w:cs="Times New Roman"/>
          <w:sz w:val="24"/>
          <w:lang w:val="bg-BG"/>
        </w:rPr>
        <w:t xml:space="preserve">35 дни или повече </w:t>
      </w:r>
      <w:r w:rsidR="00E81331">
        <w:rPr>
          <w:rFonts w:ascii="Times New Roman" w:hAnsi="Times New Roman" w:cs="Times New Roman"/>
          <w:sz w:val="24"/>
          <w:lang w:val="bg-BG"/>
        </w:rPr>
        <w:t>(</w:t>
      </w:r>
      <w:r w:rsidR="00F36432" w:rsidRPr="00E81331">
        <w:rPr>
          <w:rFonts w:ascii="Times New Roman" w:hAnsi="Times New Roman" w:cs="Times New Roman"/>
          <w:sz w:val="24"/>
          <w:lang w:val="bg-BG"/>
        </w:rPr>
        <w:t>до мобилизацията на пациента</w:t>
      </w:r>
      <w:r w:rsidR="00E81331">
        <w:rPr>
          <w:rFonts w:ascii="Times New Roman" w:hAnsi="Times New Roman" w:cs="Times New Roman"/>
          <w:sz w:val="24"/>
          <w:lang w:val="bg-BG"/>
        </w:rPr>
        <w:t>)</w:t>
      </w:r>
      <w:r w:rsidRPr="00E81331">
        <w:rPr>
          <w:rFonts w:ascii="Times New Roman" w:hAnsi="Times New Roman" w:cs="Times New Roman"/>
          <w:sz w:val="24"/>
          <w:lang w:val="bg-BG"/>
        </w:rPr>
        <w:t xml:space="preserve">. Първата доза се прилага при </w:t>
      </w:r>
      <w:r w:rsidRPr="00DA75C1">
        <w:rPr>
          <w:rFonts w:ascii="Times New Roman" w:hAnsi="Times New Roman" w:cs="Times New Roman"/>
          <w:sz w:val="24"/>
          <w:lang w:val="bg-BG"/>
        </w:rPr>
        <w:t>хоспитализацията при липса на данни за активно вътречерепно, вътрегръдно</w:t>
      </w:r>
      <w:r w:rsidR="00F36432" w:rsidRPr="00DA75C1">
        <w:rPr>
          <w:rFonts w:ascii="Times New Roman" w:hAnsi="Times New Roman" w:cs="Times New Roman"/>
          <w:sz w:val="24"/>
          <w:lang w:val="bg-BG"/>
        </w:rPr>
        <w:t>, ретроперитонеално</w:t>
      </w:r>
      <w:r w:rsidRPr="00DA75C1">
        <w:rPr>
          <w:rFonts w:ascii="Times New Roman" w:hAnsi="Times New Roman" w:cs="Times New Roman"/>
          <w:sz w:val="24"/>
          <w:lang w:val="bg-BG"/>
        </w:rPr>
        <w:t xml:space="preserve"> или вътрекоремно кървене, а при наличие на данни за активно кървене – </w:t>
      </w:r>
      <w:r w:rsidR="00F36432" w:rsidRPr="00DA75C1">
        <w:rPr>
          <w:rFonts w:ascii="Times New Roman" w:hAnsi="Times New Roman" w:cs="Times New Roman"/>
          <w:sz w:val="24"/>
          <w:lang w:val="bg-BG"/>
        </w:rPr>
        <w:t>6</w:t>
      </w:r>
      <w:r w:rsidR="00F36432" w:rsidRPr="00535380">
        <w:rPr>
          <w:rFonts w:ascii="Times New Roman" w:hAnsi="Times New Roman" w:cs="Times New Roman"/>
          <w:sz w:val="24"/>
          <w:lang w:val="bg-BG"/>
        </w:rPr>
        <w:t>-12 часа</w:t>
      </w:r>
      <w:r w:rsidRPr="00535380">
        <w:rPr>
          <w:rFonts w:ascii="Times New Roman" w:hAnsi="Times New Roman" w:cs="Times New Roman"/>
          <w:sz w:val="24"/>
          <w:lang w:val="bg-BG"/>
        </w:rPr>
        <w:t xml:space="preserve"> след овладяване на кървенето, но не по-късно от 48 часа след хоспитализацията на </w:t>
      </w:r>
      <w:r w:rsidR="00F36432" w:rsidRPr="00535380">
        <w:rPr>
          <w:rFonts w:ascii="Times New Roman" w:hAnsi="Times New Roman" w:cs="Times New Roman"/>
          <w:sz w:val="24"/>
          <w:lang w:val="bg-BG"/>
        </w:rPr>
        <w:t xml:space="preserve">пациента. Приложението се спира 12 </w:t>
      </w:r>
      <w:r w:rsidRPr="00535380">
        <w:rPr>
          <w:rFonts w:ascii="Times New Roman" w:hAnsi="Times New Roman" w:cs="Times New Roman"/>
          <w:sz w:val="24"/>
          <w:lang w:val="bg-BG"/>
        </w:rPr>
        <w:t xml:space="preserve"> </w:t>
      </w:r>
      <w:r w:rsidRPr="00535380">
        <w:rPr>
          <w:rFonts w:ascii="Times New Roman" w:hAnsi="Times New Roman" w:cs="Times New Roman"/>
          <w:sz w:val="24"/>
          <w:lang w:val="bg-BG"/>
        </w:rPr>
        <w:lastRenderedPageBreak/>
        <w:t>часа предоперативно, а първата следоперативна доза</w:t>
      </w:r>
      <w:r w:rsidR="003A39F6" w:rsidRPr="00535380">
        <w:rPr>
          <w:rFonts w:ascii="Times New Roman" w:hAnsi="Times New Roman" w:cs="Times New Roman"/>
          <w:sz w:val="24"/>
          <w:lang w:val="bg-BG"/>
        </w:rPr>
        <w:t xml:space="preserve"> се прилага</w:t>
      </w:r>
      <w:r w:rsidR="00E81331" w:rsidRPr="00535380">
        <w:rPr>
          <w:rFonts w:ascii="Times New Roman" w:hAnsi="Times New Roman" w:cs="Times New Roman"/>
          <w:sz w:val="24"/>
          <w:lang w:val="bg-BG"/>
        </w:rPr>
        <w:t xml:space="preserve"> </w:t>
      </w:r>
      <w:r w:rsidR="00F36432" w:rsidRPr="00535380">
        <w:rPr>
          <w:rFonts w:ascii="Times New Roman" w:hAnsi="Times New Roman" w:cs="Times New Roman"/>
          <w:sz w:val="24"/>
          <w:lang w:val="bg-BG"/>
        </w:rPr>
        <w:t>12</w:t>
      </w:r>
      <w:r w:rsidRPr="00535380">
        <w:rPr>
          <w:rFonts w:ascii="Times New Roman" w:hAnsi="Times New Roman" w:cs="Times New Roman"/>
          <w:sz w:val="24"/>
          <w:lang w:val="bg-BG"/>
        </w:rPr>
        <w:t xml:space="preserve"> часа следоперативно.</w:t>
      </w:r>
    </w:p>
    <w:p w:rsidR="002862D6" w:rsidRPr="004008DE" w:rsidRDefault="002862D6" w:rsidP="00276280">
      <w:pPr>
        <w:pStyle w:val="ListParagraph"/>
        <w:numPr>
          <w:ilvl w:val="0"/>
          <w:numId w:val="21"/>
        </w:numPr>
        <w:spacing w:after="0" w:line="240" w:lineRule="auto"/>
        <w:ind w:left="567" w:hanging="567"/>
        <w:rPr>
          <w:rFonts w:ascii="Times New Roman" w:hAnsi="Times New Roman" w:cs="Times New Roman"/>
          <w:sz w:val="24"/>
          <w:lang w:val="bg-BG"/>
        </w:rPr>
      </w:pPr>
      <w:r w:rsidRPr="00535380">
        <w:rPr>
          <w:rFonts w:ascii="Times New Roman" w:hAnsi="Times New Roman" w:cs="Times New Roman"/>
          <w:sz w:val="24"/>
          <w:lang w:val="bg-BG"/>
        </w:rPr>
        <w:t xml:space="preserve">Когато поне една от фрактурите е на таз или долен крайник - фондапаринукс (Арикстра) в стандартна профилактична доза (2,5 mg/0,5 ml/24 часа) в продължение на </w:t>
      </w:r>
      <w:r w:rsidR="005E7FF1" w:rsidRPr="00535380">
        <w:rPr>
          <w:rFonts w:ascii="Times New Roman" w:hAnsi="Times New Roman" w:cs="Times New Roman"/>
          <w:sz w:val="24"/>
          <w:lang w:val="bg-BG"/>
        </w:rPr>
        <w:t>35 дни</w:t>
      </w:r>
      <w:r w:rsidR="00E81331" w:rsidRPr="00535380">
        <w:rPr>
          <w:rFonts w:ascii="Times New Roman" w:hAnsi="Times New Roman" w:cs="Times New Roman"/>
          <w:sz w:val="24"/>
          <w:lang w:val="bg-BG"/>
        </w:rPr>
        <w:t xml:space="preserve"> или </w:t>
      </w:r>
      <w:r w:rsidR="00E81331" w:rsidRPr="00DA75C1">
        <w:rPr>
          <w:rFonts w:ascii="Times New Roman" w:hAnsi="Times New Roman" w:cs="Times New Roman"/>
          <w:sz w:val="24"/>
          <w:lang w:val="bg-BG"/>
        </w:rPr>
        <w:t xml:space="preserve">повече (до мобилизацията на пациента). </w:t>
      </w:r>
      <w:r w:rsidRPr="00DA75C1">
        <w:rPr>
          <w:rFonts w:ascii="Times New Roman" w:hAnsi="Times New Roman" w:cs="Times New Roman"/>
          <w:sz w:val="24"/>
          <w:lang w:val="bg-BG"/>
        </w:rPr>
        <w:t>Първата доза се прилага при хоспитализацията при липса на данни за активно вътречерепно, вътрегръдно</w:t>
      </w:r>
      <w:r w:rsidR="00AD53F2" w:rsidRPr="00DA75C1">
        <w:rPr>
          <w:rFonts w:ascii="Times New Roman" w:hAnsi="Times New Roman" w:cs="Times New Roman"/>
          <w:sz w:val="24"/>
          <w:lang w:val="bg-BG"/>
        </w:rPr>
        <w:t>, ретроперитонеално или вътрекоремно кървене,</w:t>
      </w:r>
      <w:r w:rsidR="00535380" w:rsidRPr="00DA75C1">
        <w:rPr>
          <w:rFonts w:ascii="Times New Roman" w:hAnsi="Times New Roman" w:cs="Times New Roman"/>
          <w:sz w:val="24"/>
          <w:lang w:val="bg-BG"/>
        </w:rPr>
        <w:t xml:space="preserve"> </w:t>
      </w:r>
      <w:r w:rsidRPr="00DA75C1">
        <w:rPr>
          <w:rFonts w:ascii="Times New Roman" w:hAnsi="Times New Roman" w:cs="Times New Roman"/>
          <w:sz w:val="24"/>
          <w:lang w:val="bg-BG"/>
        </w:rPr>
        <w:t xml:space="preserve">а при наличие на данни за активно кървене – 12 </w:t>
      </w:r>
      <w:r w:rsidR="00AD53F2" w:rsidRPr="00DA75C1">
        <w:rPr>
          <w:rFonts w:ascii="Times New Roman" w:hAnsi="Times New Roman" w:cs="Times New Roman"/>
          <w:sz w:val="24"/>
          <w:lang w:val="bg-BG"/>
        </w:rPr>
        <w:t>часа</w:t>
      </w:r>
      <w:r w:rsidR="00AD53F2" w:rsidRPr="00535380">
        <w:rPr>
          <w:rFonts w:ascii="Times New Roman" w:hAnsi="Times New Roman" w:cs="Times New Roman"/>
          <w:sz w:val="24"/>
          <w:lang w:val="bg-BG"/>
        </w:rPr>
        <w:t xml:space="preserve"> </w:t>
      </w:r>
      <w:r w:rsidRPr="00535380">
        <w:rPr>
          <w:rFonts w:ascii="Times New Roman" w:hAnsi="Times New Roman" w:cs="Times New Roman"/>
          <w:sz w:val="24"/>
          <w:lang w:val="bg-BG"/>
        </w:rPr>
        <w:t>след овладяване</w:t>
      </w:r>
      <w:r w:rsidRPr="004008DE">
        <w:rPr>
          <w:rFonts w:ascii="Times New Roman" w:hAnsi="Times New Roman" w:cs="Times New Roman"/>
          <w:sz w:val="24"/>
          <w:lang w:val="bg-BG"/>
        </w:rPr>
        <w:t xml:space="preserve"> на кървенето, но не по-късно от 48 часа след хоспитализацията на пациента. Приложението се спира 12 часа предоперативно, а първата следоперативна доза </w:t>
      </w:r>
      <w:r w:rsidR="003A39F6" w:rsidRPr="004008DE">
        <w:rPr>
          <w:rFonts w:ascii="Times New Roman" w:hAnsi="Times New Roman" w:cs="Times New Roman"/>
          <w:sz w:val="24"/>
          <w:lang w:val="bg-BG"/>
        </w:rPr>
        <w:t>се прилага</w:t>
      </w:r>
      <w:r w:rsidR="00AD53F2">
        <w:rPr>
          <w:rFonts w:ascii="Times New Roman" w:hAnsi="Times New Roman" w:cs="Times New Roman"/>
          <w:sz w:val="24"/>
          <w:lang w:val="bg-BG"/>
        </w:rPr>
        <w:t xml:space="preserve"> 12 </w:t>
      </w:r>
      <w:r w:rsidRPr="004008DE">
        <w:rPr>
          <w:rFonts w:ascii="Times New Roman" w:hAnsi="Times New Roman" w:cs="Times New Roman"/>
          <w:sz w:val="24"/>
          <w:lang w:val="bg-BG"/>
        </w:rPr>
        <w:t xml:space="preserve"> часа следоперативно.</w:t>
      </w:r>
      <w:r w:rsidRPr="004008DE">
        <w:rPr>
          <w:rFonts w:ascii="Times New Roman" w:hAnsi="Times New Roman" w:cs="Times New Roman"/>
          <w:sz w:val="24"/>
          <w:vertAlign w:val="superscript"/>
          <w:lang w:val="bg-BG"/>
        </w:rPr>
        <w:t>63</w:t>
      </w:r>
      <w:r w:rsidRPr="004008DE">
        <w:rPr>
          <w:rFonts w:ascii="Times New Roman" w:hAnsi="Times New Roman" w:cs="Times New Roman"/>
          <w:sz w:val="24"/>
          <w:lang w:val="bg-BG"/>
        </w:rPr>
        <w:t>.</w:t>
      </w:r>
    </w:p>
    <w:p w:rsidR="002862D6" w:rsidRPr="004008DE" w:rsidRDefault="002862D6" w:rsidP="00276280">
      <w:pPr>
        <w:pStyle w:val="ListParagraph"/>
        <w:numPr>
          <w:ilvl w:val="0"/>
          <w:numId w:val="21"/>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(ранна мобилизация, компресивни чорапи с градирана компресия,  интермитентна пневматична компресия и венозна ходилна помпа), но механичната профилактика не се препоръчва като самостоятелна.</w:t>
      </w:r>
    </w:p>
    <w:p w:rsidR="00F2405C" w:rsidRPr="004008DE" w:rsidRDefault="00F2405C" w:rsidP="00276280">
      <w:pPr>
        <w:spacing w:after="0" w:line="240" w:lineRule="auto"/>
        <w:rPr>
          <w:rFonts w:ascii="Times New Roman" w:hAnsi="Times New Roman" w:cs="Times New Roman"/>
          <w:sz w:val="24"/>
          <w:lang w:val="bg-BG"/>
        </w:rPr>
      </w:pPr>
    </w:p>
    <w:p w:rsidR="00F2405C" w:rsidRPr="004008DE" w:rsidRDefault="00DA0BF0" w:rsidP="00276280">
      <w:pPr>
        <w:pStyle w:val="ListParagraph"/>
        <w:spacing w:after="0" w:line="240" w:lineRule="auto"/>
        <w:ind w:left="0" w:firstLine="567"/>
        <w:rPr>
          <w:rFonts w:ascii="Times New Roman" w:hAnsi="Times New Roman" w:cs="Times New Roman"/>
          <w:sz w:val="24"/>
          <w:u w:val="single"/>
          <w:lang w:val="bg-BG"/>
        </w:rPr>
      </w:pPr>
      <w:r w:rsidRPr="00DA0BF0">
        <w:rPr>
          <w:rFonts w:ascii="Times New Roman" w:hAnsi="Times New Roman" w:cs="Times New Roman"/>
          <w:sz w:val="24"/>
          <w:u w:val="single"/>
          <w:lang w:val="bg-BG"/>
        </w:rPr>
        <w:t xml:space="preserve">4.12 </w:t>
      </w:r>
      <w:r w:rsidR="002D72C4" w:rsidRPr="00DA0BF0">
        <w:rPr>
          <w:rFonts w:ascii="Times New Roman" w:hAnsi="Times New Roman" w:cs="Times New Roman"/>
          <w:sz w:val="24"/>
          <w:u w:val="single"/>
          <w:lang w:val="bg-BG"/>
        </w:rPr>
        <w:t>Травми дистално</w:t>
      </w:r>
      <w:r w:rsidR="002D72C4" w:rsidRPr="004008DE">
        <w:rPr>
          <w:rFonts w:ascii="Times New Roman" w:hAnsi="Times New Roman" w:cs="Times New Roman"/>
          <w:sz w:val="24"/>
          <w:u w:val="single"/>
          <w:lang w:val="bg-BG"/>
        </w:rPr>
        <w:t xml:space="preserve"> от коляното, лекувани с имобилизация</w:t>
      </w:r>
    </w:p>
    <w:p w:rsidR="00F2405C" w:rsidRPr="004008DE" w:rsidRDefault="00F2405C" w:rsidP="00276280">
      <w:pPr>
        <w:spacing w:after="0" w:line="240" w:lineRule="auto"/>
        <w:rPr>
          <w:rFonts w:ascii="Times New Roman" w:hAnsi="Times New Roman" w:cs="Times New Roman"/>
          <w:sz w:val="24"/>
          <w:u w:val="single"/>
          <w:lang w:val="bg-BG"/>
        </w:rPr>
      </w:pPr>
    </w:p>
    <w:p w:rsidR="00F2405C" w:rsidRPr="004008DE" w:rsidRDefault="00F2405C"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Рутинната профилактика на ВТЕ при подвижни пациенти с имобилизация под коляното е противоречива.</w:t>
      </w:r>
      <w:r w:rsidRPr="004008DE">
        <w:rPr>
          <w:rFonts w:ascii="Times New Roman" w:hAnsi="Times New Roman" w:cs="Times New Roman"/>
          <w:sz w:val="24"/>
          <w:vertAlign w:val="superscript"/>
          <w:lang w:val="bg-BG"/>
        </w:rPr>
        <w:t xml:space="preserve">84 </w:t>
      </w:r>
      <w:r w:rsidRPr="004008DE">
        <w:rPr>
          <w:rFonts w:ascii="Times New Roman" w:hAnsi="Times New Roman" w:cs="Times New Roman"/>
          <w:sz w:val="24"/>
          <w:lang w:val="bg-BG"/>
        </w:rPr>
        <w:t>Честотата на ДВТ е между 4 и 16% и макар според някои публикации честотата на ВТЕ да е сходна с тази при тазобедрено ендопротезиране, според други липсват подобни данни, налагащи тромбопрофилактика.</w:t>
      </w:r>
      <w:r w:rsidRPr="004008DE">
        <w:rPr>
          <w:rFonts w:ascii="Times New Roman" w:hAnsi="Times New Roman" w:cs="Times New Roman"/>
          <w:sz w:val="24"/>
          <w:vertAlign w:val="superscript"/>
          <w:lang w:val="bg-BG"/>
        </w:rPr>
        <w:t>85, 86</w:t>
      </w:r>
      <w:r w:rsidRPr="004008DE">
        <w:rPr>
          <w:rFonts w:ascii="Times New Roman" w:hAnsi="Times New Roman" w:cs="Times New Roman"/>
          <w:sz w:val="24"/>
          <w:lang w:val="bg-BG"/>
        </w:rPr>
        <w:t xml:space="preserve"> Последният консенсус на ACCP не препоръчва профилактика на ВТЕ при пациентите с изолирани травми на долния крайник, налагащи имобилизация.</w:t>
      </w:r>
      <w:r w:rsidRPr="009C28D6">
        <w:rPr>
          <w:rFonts w:ascii="Times New Roman" w:hAnsi="Times New Roman" w:cs="Times New Roman"/>
          <w:b/>
          <w:i/>
          <w:sz w:val="24"/>
          <w:vertAlign w:val="superscript"/>
          <w:lang w:val="bg-BG"/>
        </w:rPr>
        <w:t>42</w:t>
      </w:r>
      <w:r w:rsidRPr="009C28D6">
        <w:rPr>
          <w:rFonts w:ascii="Times New Roman" w:hAnsi="Times New Roman" w:cs="Times New Roman"/>
          <w:b/>
          <w:i/>
          <w:sz w:val="24"/>
          <w:lang w:val="bg-BG"/>
        </w:rPr>
        <w:t xml:space="preserve"> Сходна е и препоръката на AAOS - рутинна профилактика на ВТЕ не е необходима </w:t>
      </w:r>
      <w:r w:rsidR="009C28D6" w:rsidRPr="009C28D6">
        <w:rPr>
          <w:rFonts w:ascii="Times New Roman" w:hAnsi="Times New Roman" w:cs="Times New Roman"/>
          <w:b/>
          <w:i/>
          <w:sz w:val="24"/>
          <w:lang w:val="bg-BG"/>
        </w:rPr>
        <w:t xml:space="preserve">при </w:t>
      </w:r>
      <w:r w:rsidRPr="009C28D6">
        <w:rPr>
          <w:rFonts w:ascii="Times New Roman" w:hAnsi="Times New Roman" w:cs="Times New Roman"/>
          <w:b/>
          <w:i/>
          <w:sz w:val="24"/>
          <w:lang w:val="bg-BG"/>
        </w:rPr>
        <w:t>пациентите с изолирана фрактура на долния крайник, която не се нуждае от операция. Необходимостта от профилактика на ВТЕ при пациенти с изолирана фрактура на долния крайник е ограничена до високо рисковите пациенти със значими придружаващи заболявания, силно ограничена подвижност или други коагулопатични рискови фактори.</w:t>
      </w:r>
      <w:r w:rsidRPr="009C28D6">
        <w:rPr>
          <w:rFonts w:ascii="Times New Roman" w:hAnsi="Times New Roman" w:cs="Times New Roman"/>
          <w:b/>
          <w:i/>
          <w:sz w:val="24"/>
          <w:vertAlign w:val="superscript"/>
          <w:lang w:val="bg-BG"/>
        </w:rPr>
        <w:t>88</w:t>
      </w:r>
    </w:p>
    <w:p w:rsidR="00F2405C" w:rsidRPr="009C28D6" w:rsidRDefault="00F2405C" w:rsidP="00276280">
      <w:pPr>
        <w:spacing w:after="0" w:line="240" w:lineRule="auto"/>
        <w:ind w:firstLine="567"/>
        <w:rPr>
          <w:rFonts w:ascii="Times New Roman" w:hAnsi="Times New Roman" w:cs="Times New Roman"/>
          <w:b/>
          <w:i/>
          <w:sz w:val="24"/>
          <w:vertAlign w:val="superscript"/>
          <w:lang w:val="bg-BG"/>
        </w:rPr>
      </w:pPr>
      <w:r w:rsidRPr="004008DE">
        <w:rPr>
          <w:rFonts w:ascii="Times New Roman" w:hAnsi="Times New Roman" w:cs="Times New Roman"/>
          <w:sz w:val="24"/>
          <w:lang w:val="bg-BG"/>
        </w:rPr>
        <w:t>От друга страна, публикуван през 2014 г. мета-анализ</w:t>
      </w:r>
      <w:r w:rsidRPr="004008DE">
        <w:rPr>
          <w:rFonts w:ascii="Times New Roman" w:hAnsi="Times New Roman" w:cs="Times New Roman"/>
          <w:sz w:val="24"/>
          <w:vertAlign w:val="superscript"/>
          <w:lang w:val="bg-BG"/>
        </w:rPr>
        <w:t>87</w:t>
      </w:r>
      <w:r w:rsidRPr="004008DE">
        <w:rPr>
          <w:rFonts w:ascii="Times New Roman" w:hAnsi="Times New Roman" w:cs="Times New Roman"/>
          <w:sz w:val="24"/>
          <w:lang w:val="bg-BG"/>
        </w:rPr>
        <w:t xml:space="preserve"> показва честота на ДВТ между 4,3 и 40% при пациентите с имобилизация на долния крайник и препоръчва профилактика с нискомолекулен хепарин при всички. </w:t>
      </w:r>
      <w:r w:rsidRPr="009C28D6">
        <w:rPr>
          <w:rFonts w:ascii="Times New Roman" w:hAnsi="Times New Roman" w:cs="Times New Roman"/>
          <w:b/>
          <w:i/>
          <w:sz w:val="24"/>
          <w:lang w:val="bg-BG"/>
        </w:rPr>
        <w:t>Съответно NICE препоръчва профилактика с нискомолекулен хепарин или фондапаринукс при всички пациенти с имобилизация на долния крайник, при които рискът за ВТЕ надвишава този за хеморагия, като профилактиката може да се спре след 42-ия ден.</w:t>
      </w:r>
      <w:r w:rsidRPr="009C28D6">
        <w:rPr>
          <w:rFonts w:ascii="Times New Roman" w:hAnsi="Times New Roman" w:cs="Times New Roman"/>
          <w:b/>
          <w:i/>
          <w:sz w:val="24"/>
          <w:vertAlign w:val="superscript"/>
          <w:lang w:val="bg-BG"/>
        </w:rPr>
        <w:t xml:space="preserve">70 </w:t>
      </w:r>
    </w:p>
    <w:p w:rsidR="00F2405C" w:rsidRPr="004008DE" w:rsidRDefault="00F2405C" w:rsidP="00276280">
      <w:pPr>
        <w:spacing w:after="0" w:line="240" w:lineRule="auto"/>
        <w:rPr>
          <w:rFonts w:ascii="Times New Roman" w:hAnsi="Times New Roman" w:cs="Times New Roman"/>
          <w:sz w:val="24"/>
          <w:vertAlign w:val="superscript"/>
          <w:lang w:val="bg-BG"/>
        </w:rPr>
      </w:pPr>
    </w:p>
    <w:p w:rsidR="00F2405C"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F2405C" w:rsidRPr="004008DE">
        <w:rPr>
          <w:rFonts w:ascii="Times New Roman" w:hAnsi="Times New Roman" w:cs="Times New Roman"/>
          <w:sz w:val="24"/>
          <w:lang w:val="bg-BG"/>
        </w:rPr>
        <w:t xml:space="preserve"> следните режими за профилактика:</w:t>
      </w:r>
    </w:p>
    <w:p w:rsidR="00F2405C" w:rsidRPr="004008DE" w:rsidRDefault="00F2405C" w:rsidP="00276280">
      <w:pPr>
        <w:spacing w:after="0" w:line="240" w:lineRule="auto"/>
        <w:rPr>
          <w:rFonts w:ascii="Times New Roman" w:hAnsi="Times New Roman" w:cs="Times New Roman"/>
          <w:sz w:val="24"/>
          <w:vertAlign w:val="superscript"/>
          <w:lang w:val="bg-BG"/>
        </w:rPr>
      </w:pPr>
    </w:p>
    <w:p w:rsidR="00F2405C" w:rsidRPr="008732C1" w:rsidRDefault="00F2405C" w:rsidP="006575A9">
      <w:pPr>
        <w:pStyle w:val="ListParagraph"/>
        <w:numPr>
          <w:ilvl w:val="0"/>
          <w:numId w:val="19"/>
        </w:numPr>
        <w:spacing w:after="0" w:line="240" w:lineRule="auto"/>
        <w:ind w:left="567" w:hanging="567"/>
        <w:rPr>
          <w:rFonts w:ascii="Times New Roman" w:hAnsi="Times New Roman" w:cs="Times New Roman"/>
          <w:sz w:val="24"/>
          <w:lang w:val="bg-BG"/>
        </w:rPr>
      </w:pPr>
      <w:r w:rsidRPr="008732C1">
        <w:rPr>
          <w:rFonts w:ascii="Times New Roman" w:hAnsi="Times New Roman" w:cs="Times New Roman"/>
          <w:sz w:val="24"/>
          <w:lang w:val="bg-BG"/>
        </w:rPr>
        <w:t xml:space="preserve">При нискорискови за ВТЕ пациенти (Padua Prediction Score </w:t>
      </w:r>
      <w:r w:rsidR="004E72F1" w:rsidRPr="008732C1">
        <w:rPr>
          <w:rFonts w:ascii="Times New Roman" w:hAnsi="Times New Roman" w:cs="Times New Roman"/>
          <w:sz w:val="24"/>
          <w:lang w:val="bg-BG"/>
        </w:rPr>
        <w:t>&lt;4 т.</w:t>
      </w:r>
      <w:r w:rsidRPr="008732C1">
        <w:rPr>
          <w:rFonts w:ascii="Times New Roman" w:hAnsi="Times New Roman" w:cs="Times New Roman"/>
          <w:sz w:val="24"/>
          <w:lang w:val="bg-BG"/>
        </w:rPr>
        <w:t xml:space="preserve"> с травми дистално от коляното, налагащи лечение с имобилизация, по преценка на оператора може да с</w:t>
      </w:r>
      <w:r w:rsidR="009C28D6" w:rsidRPr="008732C1">
        <w:rPr>
          <w:rFonts w:ascii="Times New Roman" w:hAnsi="Times New Roman" w:cs="Times New Roman"/>
          <w:sz w:val="24"/>
          <w:lang w:val="bg-BG"/>
        </w:rPr>
        <w:t xml:space="preserve">е провежда профилактика за до </w:t>
      </w:r>
      <w:r w:rsidR="00535380" w:rsidRPr="008732C1">
        <w:rPr>
          <w:rFonts w:ascii="Times New Roman" w:hAnsi="Times New Roman" w:cs="Times New Roman"/>
          <w:sz w:val="24"/>
          <w:lang w:val="bg-BG"/>
        </w:rPr>
        <w:t>42</w:t>
      </w:r>
      <w:r w:rsidRPr="008732C1">
        <w:rPr>
          <w:rFonts w:ascii="Times New Roman" w:hAnsi="Times New Roman" w:cs="Times New Roman"/>
          <w:sz w:val="24"/>
          <w:lang w:val="bg-BG"/>
        </w:rPr>
        <w:t xml:space="preserve"> дни</w:t>
      </w:r>
      <w:r w:rsidR="008732C1">
        <w:rPr>
          <w:rFonts w:ascii="Times New Roman" w:hAnsi="Times New Roman" w:cs="Times New Roman"/>
          <w:sz w:val="24"/>
          <w:lang w:val="bg-BG"/>
        </w:rPr>
        <w:t xml:space="preserve"> </w:t>
      </w:r>
      <w:r w:rsidRPr="008732C1">
        <w:rPr>
          <w:rFonts w:ascii="Times New Roman" w:hAnsi="Times New Roman" w:cs="Times New Roman"/>
          <w:sz w:val="24"/>
          <w:lang w:val="bg-BG"/>
        </w:rPr>
        <w:t xml:space="preserve">с ацетилсалицилова </w:t>
      </w:r>
      <w:r w:rsidR="00C84554" w:rsidRPr="008732C1">
        <w:rPr>
          <w:rFonts w:ascii="Times New Roman" w:hAnsi="Times New Roman" w:cs="Times New Roman"/>
          <w:sz w:val="24"/>
          <w:lang w:val="bg-BG"/>
        </w:rPr>
        <w:t>киселина</w:t>
      </w:r>
      <w:r w:rsidRPr="008732C1">
        <w:rPr>
          <w:rFonts w:ascii="Times New Roman" w:hAnsi="Times New Roman" w:cs="Times New Roman"/>
          <w:sz w:val="24"/>
          <w:lang w:val="bg-BG"/>
        </w:rPr>
        <w:t xml:space="preserve"> (ASA, аспирин) в доза 100 mg/24 часа.</w:t>
      </w:r>
    </w:p>
    <w:p w:rsidR="00F2405C" w:rsidRPr="004008DE" w:rsidRDefault="00F2405C" w:rsidP="00276280">
      <w:pPr>
        <w:pStyle w:val="ListParagraph"/>
        <w:numPr>
          <w:ilvl w:val="0"/>
          <w:numId w:val="19"/>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При високорискови за ВТЕ пациенти (Padua Prediction Score ≥ 4 т) с травми дистално от коляното, налагащи лечение с имобилизация</w:t>
      </w:r>
      <w:r w:rsidR="009C28D6">
        <w:rPr>
          <w:rFonts w:ascii="Times New Roman" w:hAnsi="Times New Roman" w:cs="Times New Roman"/>
          <w:sz w:val="24"/>
          <w:lang w:val="bg-BG"/>
        </w:rPr>
        <w:t xml:space="preserve">, се провежда профилактика за </w:t>
      </w:r>
      <w:r w:rsidR="00535380">
        <w:rPr>
          <w:rFonts w:ascii="Times New Roman" w:hAnsi="Times New Roman" w:cs="Times New Roman"/>
          <w:sz w:val="24"/>
          <w:lang w:val="bg-BG"/>
        </w:rPr>
        <w:t xml:space="preserve">до </w:t>
      </w:r>
      <w:r w:rsidR="009C28D6">
        <w:rPr>
          <w:rFonts w:ascii="Times New Roman" w:hAnsi="Times New Roman" w:cs="Times New Roman"/>
          <w:sz w:val="24"/>
          <w:lang w:val="bg-BG"/>
        </w:rPr>
        <w:t xml:space="preserve">42 дни </w:t>
      </w:r>
      <w:r w:rsidRPr="004008DE">
        <w:rPr>
          <w:rFonts w:ascii="Times New Roman" w:hAnsi="Times New Roman" w:cs="Times New Roman"/>
          <w:sz w:val="24"/>
          <w:lang w:val="bg-BG"/>
        </w:rPr>
        <w:t>с 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след което, по преценка на лекуващия лекар – с </w:t>
      </w:r>
      <w:r w:rsidRPr="004008DE">
        <w:rPr>
          <w:rFonts w:ascii="Times New Roman" w:hAnsi="Times New Roman" w:cs="Times New Roman"/>
          <w:sz w:val="24"/>
          <w:lang w:val="bg-BG"/>
        </w:rPr>
        <w:lastRenderedPageBreak/>
        <w:t xml:space="preserve">ацетилсалицилова </w:t>
      </w:r>
      <w:r w:rsidR="00C84554" w:rsidRPr="004008DE">
        <w:rPr>
          <w:rFonts w:ascii="Times New Roman" w:hAnsi="Times New Roman" w:cs="Times New Roman"/>
          <w:sz w:val="24"/>
          <w:lang w:val="bg-BG"/>
        </w:rPr>
        <w:t>киселина</w:t>
      </w:r>
      <w:r w:rsidRPr="004008DE">
        <w:rPr>
          <w:rFonts w:ascii="Times New Roman" w:hAnsi="Times New Roman" w:cs="Times New Roman"/>
          <w:sz w:val="24"/>
          <w:lang w:val="bg-BG"/>
        </w:rPr>
        <w:t xml:space="preserve"> (ASA, аспирин) в доза 100 mg/24 часа до края на периода на имобилизация или до 42-ия ден от травмата.</w:t>
      </w:r>
    </w:p>
    <w:p w:rsidR="00BD0089" w:rsidRPr="004008DE" w:rsidRDefault="00F2405C" w:rsidP="00276280">
      <w:pPr>
        <w:pStyle w:val="ListParagraph"/>
        <w:spacing w:after="0" w:line="240" w:lineRule="auto"/>
        <w:ind w:left="567"/>
        <w:rPr>
          <w:rFonts w:ascii="Times New Roman" w:hAnsi="Times New Roman" w:cs="Times New Roman"/>
          <w:sz w:val="24"/>
          <w:lang w:val="bg-BG"/>
        </w:rPr>
      </w:pPr>
      <w:r w:rsidRPr="004008DE">
        <w:rPr>
          <w:rFonts w:ascii="Times New Roman" w:hAnsi="Times New Roman" w:cs="Times New Roman"/>
          <w:sz w:val="24"/>
          <w:u w:val="single"/>
          <w:lang w:val="bg-BG"/>
        </w:rPr>
        <w:br/>
      </w:r>
      <w:r w:rsidR="00BD0089" w:rsidRPr="00DA0BF0">
        <w:rPr>
          <w:rFonts w:ascii="Times New Roman" w:hAnsi="Times New Roman" w:cs="Times New Roman"/>
          <w:sz w:val="24"/>
          <w:u w:val="single"/>
          <w:lang w:val="bg-BG"/>
        </w:rPr>
        <w:t>4.1</w:t>
      </w:r>
      <w:r w:rsidR="00DA0BF0" w:rsidRPr="00DA0BF0">
        <w:rPr>
          <w:rFonts w:ascii="Times New Roman" w:hAnsi="Times New Roman" w:cs="Times New Roman"/>
          <w:sz w:val="24"/>
          <w:u w:val="single"/>
          <w:lang w:val="bg-BG"/>
        </w:rPr>
        <w:t xml:space="preserve">3 </w:t>
      </w:r>
      <w:r w:rsidR="00D41831" w:rsidRPr="00DA0BF0">
        <w:rPr>
          <w:rFonts w:ascii="Times New Roman" w:hAnsi="Times New Roman" w:cs="Times New Roman"/>
          <w:sz w:val="24"/>
          <w:u w:val="single"/>
          <w:lang w:val="bg-BG"/>
        </w:rPr>
        <w:t>Операции</w:t>
      </w:r>
      <w:r w:rsidR="00D41831" w:rsidRPr="004008DE">
        <w:rPr>
          <w:rFonts w:ascii="Times New Roman" w:hAnsi="Times New Roman" w:cs="Times New Roman"/>
          <w:sz w:val="24"/>
          <w:u w:val="single"/>
          <w:lang w:val="bg-BG"/>
        </w:rPr>
        <w:t xml:space="preserve"> за </w:t>
      </w:r>
      <w:r w:rsidR="004008DE" w:rsidRPr="004008DE">
        <w:rPr>
          <w:rFonts w:ascii="Times New Roman" w:hAnsi="Times New Roman" w:cs="Times New Roman"/>
          <w:sz w:val="24"/>
          <w:u w:val="single"/>
          <w:lang w:val="bg-BG"/>
        </w:rPr>
        <w:t>отстраняване</w:t>
      </w:r>
      <w:r w:rsidR="00D41831" w:rsidRPr="004008DE">
        <w:rPr>
          <w:rFonts w:ascii="Times New Roman" w:hAnsi="Times New Roman" w:cs="Times New Roman"/>
          <w:sz w:val="24"/>
          <w:u w:val="single"/>
          <w:lang w:val="bg-BG"/>
        </w:rPr>
        <w:t xml:space="preserve"> на импланти от долния крайник</w:t>
      </w:r>
      <w:r w:rsidR="00BD0089" w:rsidRPr="004008DE">
        <w:rPr>
          <w:rFonts w:ascii="Times New Roman" w:hAnsi="Times New Roman" w:cs="Times New Roman"/>
          <w:sz w:val="24"/>
          <w:u w:val="single"/>
          <w:lang w:val="bg-BG"/>
        </w:rPr>
        <w:br/>
      </w:r>
    </w:p>
    <w:p w:rsidR="00AC165C" w:rsidRDefault="00BD0089" w:rsidP="00276280">
      <w:pPr>
        <w:spacing w:after="0" w:line="240" w:lineRule="auto"/>
        <w:ind w:firstLine="567"/>
        <w:rPr>
          <w:rFonts w:ascii="Times New Roman" w:hAnsi="Times New Roman" w:cs="Times New Roman"/>
          <w:sz w:val="24"/>
          <w:lang w:val="bg-BG"/>
        </w:rPr>
      </w:pPr>
      <w:r w:rsidRPr="004008DE">
        <w:rPr>
          <w:rFonts w:ascii="Times New Roman" w:hAnsi="Times New Roman" w:cs="Times New Roman"/>
          <w:sz w:val="24"/>
          <w:lang w:val="bg-BG"/>
        </w:rPr>
        <w:t>Хирургията на долния крайник е добре известен рисков фактор за развитие на ВТЕ. Въпреки това, има малко доказателства, свързани с тромбоемболия след отстраняване на импланти от долните крайници.</w:t>
      </w:r>
      <w:r w:rsidRPr="004008DE">
        <w:rPr>
          <w:rFonts w:ascii="Times New Roman" w:hAnsi="Times New Roman" w:cs="Times New Roman"/>
          <w:sz w:val="24"/>
          <w:vertAlign w:val="superscript"/>
          <w:lang w:val="bg-BG"/>
        </w:rPr>
        <w:t>108</w:t>
      </w:r>
      <w:r w:rsidR="005F10B6" w:rsidRPr="004008DE">
        <w:rPr>
          <w:rFonts w:ascii="Times New Roman" w:hAnsi="Times New Roman" w:cs="Times New Roman"/>
          <w:sz w:val="24"/>
          <w:lang w:val="bg-BG"/>
        </w:rPr>
        <w:br/>
      </w:r>
      <w:r w:rsidRPr="004008DE">
        <w:rPr>
          <w:rFonts w:ascii="Times New Roman" w:hAnsi="Times New Roman" w:cs="Times New Roman"/>
          <w:sz w:val="24"/>
          <w:lang w:val="bg-BG"/>
        </w:rPr>
        <w:tab/>
        <w:t xml:space="preserve">Препоръките за клинична практика на </w:t>
      </w:r>
      <w:r w:rsidR="00F86ABA" w:rsidRPr="004008DE">
        <w:rPr>
          <w:rFonts w:ascii="Times New Roman" w:hAnsi="Times New Roman" w:cs="Times New Roman"/>
          <w:sz w:val="24"/>
          <w:lang w:val="bg-BG"/>
        </w:rPr>
        <w:t>American Association of Orthopedic Surgeons (</w:t>
      </w:r>
      <w:r w:rsidRPr="004008DE">
        <w:rPr>
          <w:rFonts w:ascii="Times New Roman" w:hAnsi="Times New Roman" w:cs="Times New Roman"/>
          <w:sz w:val="24"/>
          <w:lang w:val="bg-BG"/>
        </w:rPr>
        <w:t>AAOS</w:t>
      </w:r>
      <w:r w:rsidR="00F86ABA" w:rsidRPr="004008DE">
        <w:rPr>
          <w:rFonts w:ascii="Times New Roman" w:hAnsi="Times New Roman" w:cs="Times New Roman"/>
          <w:sz w:val="24"/>
          <w:lang w:val="bg-BG"/>
        </w:rPr>
        <w:t>)</w:t>
      </w:r>
      <w:r w:rsidRPr="004008DE">
        <w:rPr>
          <w:rFonts w:ascii="Times New Roman" w:hAnsi="Times New Roman" w:cs="Times New Roman"/>
          <w:sz w:val="24"/>
          <w:vertAlign w:val="superscript"/>
          <w:lang w:val="bg-BG"/>
        </w:rPr>
        <w:t>109</w:t>
      </w:r>
      <w:r w:rsidRPr="004008DE">
        <w:rPr>
          <w:rFonts w:ascii="Times New Roman" w:hAnsi="Times New Roman" w:cs="Times New Roman"/>
          <w:sz w:val="24"/>
          <w:lang w:val="bg-BG"/>
        </w:rPr>
        <w:t>, AmericanCollege of Chest Physicians (ACCP)</w:t>
      </w:r>
      <w:r w:rsidR="00F86ABA" w:rsidRPr="004008DE">
        <w:rPr>
          <w:rFonts w:ascii="Times New Roman" w:hAnsi="Times New Roman" w:cs="Times New Roman"/>
          <w:sz w:val="24"/>
          <w:vertAlign w:val="superscript"/>
          <w:lang w:val="bg-BG"/>
        </w:rPr>
        <w:t>110</w:t>
      </w:r>
      <w:r w:rsidRPr="004008DE">
        <w:rPr>
          <w:rFonts w:ascii="Times New Roman" w:hAnsi="Times New Roman" w:cs="Times New Roman"/>
          <w:sz w:val="24"/>
          <w:lang w:val="bg-BG"/>
        </w:rPr>
        <w:t xml:space="preserve"> и American College of</w:t>
      </w:r>
      <w:r w:rsidR="00EF3D82">
        <w:rPr>
          <w:rFonts w:ascii="Times New Roman" w:hAnsi="Times New Roman" w:cs="Times New Roman"/>
          <w:sz w:val="24"/>
          <w:lang w:val="bg-BG"/>
        </w:rPr>
        <w:t xml:space="preserve"> </w:t>
      </w:r>
      <w:r w:rsidRPr="004008DE">
        <w:rPr>
          <w:rFonts w:ascii="Times New Roman" w:hAnsi="Times New Roman" w:cs="Times New Roman"/>
          <w:sz w:val="24"/>
          <w:lang w:val="bg-BG"/>
        </w:rPr>
        <w:t>Foot and Ankle Surgeons (ACFAS)</w:t>
      </w:r>
      <w:r w:rsidR="00F86ABA" w:rsidRPr="004008DE">
        <w:rPr>
          <w:rFonts w:ascii="Times New Roman" w:hAnsi="Times New Roman" w:cs="Times New Roman"/>
          <w:sz w:val="24"/>
          <w:vertAlign w:val="superscript"/>
          <w:lang w:val="bg-BG"/>
        </w:rPr>
        <w:t>111</w:t>
      </w:r>
      <w:r w:rsidR="00F86ABA" w:rsidRPr="004008DE">
        <w:rPr>
          <w:rFonts w:ascii="Times New Roman" w:hAnsi="Times New Roman" w:cs="Times New Roman"/>
          <w:sz w:val="24"/>
          <w:lang w:val="bg-BG"/>
        </w:rPr>
        <w:t xml:space="preserve">не уточняват нищо </w:t>
      </w:r>
      <w:r w:rsidRPr="004008DE">
        <w:rPr>
          <w:rFonts w:ascii="Times New Roman" w:hAnsi="Times New Roman" w:cs="Times New Roman"/>
          <w:sz w:val="24"/>
          <w:lang w:val="bg-BG"/>
        </w:rPr>
        <w:t>относно отс</w:t>
      </w:r>
      <w:r w:rsidR="004008DE">
        <w:rPr>
          <w:rFonts w:ascii="Times New Roman" w:hAnsi="Times New Roman" w:cs="Times New Roman"/>
          <w:sz w:val="24"/>
          <w:lang w:val="bg-BG"/>
        </w:rPr>
        <w:t>т</w:t>
      </w:r>
      <w:r w:rsidRPr="004008DE">
        <w:rPr>
          <w:rFonts w:ascii="Times New Roman" w:hAnsi="Times New Roman" w:cs="Times New Roman"/>
          <w:sz w:val="24"/>
          <w:lang w:val="bg-BG"/>
        </w:rPr>
        <w:t>раняване на импланти. NICE</w:t>
      </w:r>
      <w:r w:rsidR="00F86ABA" w:rsidRPr="004008DE">
        <w:rPr>
          <w:rFonts w:ascii="Times New Roman" w:hAnsi="Times New Roman" w:cs="Times New Roman"/>
          <w:sz w:val="24"/>
          <w:vertAlign w:val="superscript"/>
          <w:lang w:val="bg-BG"/>
        </w:rPr>
        <w:t>70</w:t>
      </w:r>
      <w:r w:rsidRPr="004008DE">
        <w:rPr>
          <w:rFonts w:ascii="Times New Roman" w:hAnsi="Times New Roman" w:cs="Times New Roman"/>
          <w:sz w:val="24"/>
          <w:lang w:val="bg-BG"/>
        </w:rPr>
        <w:t xml:space="preserve"> препоръчва</w:t>
      </w:r>
      <w:r w:rsidR="009C28D6">
        <w:rPr>
          <w:rFonts w:ascii="Times New Roman" w:hAnsi="Times New Roman" w:cs="Times New Roman"/>
          <w:sz w:val="24"/>
          <w:lang w:val="bg-BG"/>
        </w:rPr>
        <w:t xml:space="preserve"> </w:t>
      </w:r>
      <w:r w:rsidRPr="004008DE">
        <w:rPr>
          <w:rFonts w:ascii="Times New Roman" w:hAnsi="Times New Roman" w:cs="Times New Roman"/>
          <w:sz w:val="24"/>
          <w:lang w:val="bg-BG"/>
        </w:rPr>
        <w:t>антикоагулантна терапия след операци</w:t>
      </w:r>
      <w:r w:rsidR="00F86ABA" w:rsidRPr="004008DE">
        <w:rPr>
          <w:rFonts w:ascii="Times New Roman" w:hAnsi="Times New Roman" w:cs="Times New Roman"/>
          <w:sz w:val="24"/>
          <w:lang w:val="bg-BG"/>
        </w:rPr>
        <w:t>и</w:t>
      </w:r>
      <w:r w:rsidRPr="004008DE">
        <w:rPr>
          <w:rFonts w:ascii="Times New Roman" w:hAnsi="Times New Roman" w:cs="Times New Roman"/>
          <w:sz w:val="24"/>
          <w:lang w:val="bg-BG"/>
        </w:rPr>
        <w:t xml:space="preserve"> на ходилото и</w:t>
      </w:r>
      <w:r w:rsidR="009C28D6">
        <w:rPr>
          <w:rFonts w:ascii="Times New Roman" w:hAnsi="Times New Roman" w:cs="Times New Roman"/>
          <w:sz w:val="24"/>
          <w:lang w:val="bg-BG"/>
        </w:rPr>
        <w:t xml:space="preserve"> </w:t>
      </w:r>
      <w:r w:rsidRPr="004008DE">
        <w:rPr>
          <w:rFonts w:ascii="Times New Roman" w:hAnsi="Times New Roman" w:cs="Times New Roman"/>
          <w:sz w:val="24"/>
          <w:lang w:val="bg-BG"/>
        </w:rPr>
        <w:t>глезена, ако се очаква продължително обездвижване</w:t>
      </w:r>
      <w:r w:rsidR="00F86ABA" w:rsidRPr="004008DE">
        <w:rPr>
          <w:rFonts w:ascii="Times New Roman" w:hAnsi="Times New Roman" w:cs="Times New Roman"/>
          <w:sz w:val="24"/>
          <w:lang w:val="bg-BG"/>
        </w:rPr>
        <w:t xml:space="preserve">, ако времето под обща анестезия е повече от </w:t>
      </w:r>
      <w:r w:rsidRPr="004008DE">
        <w:rPr>
          <w:rFonts w:ascii="Times New Roman" w:hAnsi="Times New Roman" w:cs="Times New Roman"/>
          <w:sz w:val="24"/>
          <w:lang w:val="bg-BG"/>
        </w:rPr>
        <w:t>90 минути, или когато рискът</w:t>
      </w:r>
      <w:r w:rsidR="00EF3D82">
        <w:rPr>
          <w:rFonts w:ascii="Times New Roman" w:hAnsi="Times New Roman" w:cs="Times New Roman"/>
          <w:sz w:val="24"/>
          <w:lang w:val="bg-BG"/>
        </w:rPr>
        <w:t xml:space="preserve"> </w:t>
      </w:r>
      <w:r w:rsidRPr="004008DE">
        <w:rPr>
          <w:rFonts w:ascii="Times New Roman" w:hAnsi="Times New Roman" w:cs="Times New Roman"/>
          <w:sz w:val="24"/>
          <w:lang w:val="bg-BG"/>
        </w:rPr>
        <w:t>от развитие на ВТЕ превишава риска от кървене. Тези</w:t>
      </w:r>
      <w:r w:rsidR="009C28D6">
        <w:rPr>
          <w:rFonts w:ascii="Times New Roman" w:hAnsi="Times New Roman" w:cs="Times New Roman"/>
          <w:sz w:val="24"/>
          <w:lang w:val="bg-BG"/>
        </w:rPr>
        <w:t xml:space="preserve"> </w:t>
      </w:r>
      <w:r w:rsidRPr="004008DE">
        <w:rPr>
          <w:rFonts w:ascii="Times New Roman" w:hAnsi="Times New Roman" w:cs="Times New Roman"/>
          <w:sz w:val="24"/>
          <w:lang w:val="bg-BG"/>
        </w:rPr>
        <w:t>препоръки могат да бъдат приложени към отстраняването на</w:t>
      </w:r>
      <w:r w:rsidR="00EF3D82">
        <w:rPr>
          <w:rFonts w:ascii="Times New Roman" w:hAnsi="Times New Roman" w:cs="Times New Roman"/>
          <w:sz w:val="24"/>
          <w:lang w:val="bg-BG"/>
        </w:rPr>
        <w:t xml:space="preserve"> </w:t>
      </w:r>
      <w:r w:rsidRPr="004008DE">
        <w:rPr>
          <w:rFonts w:ascii="Times New Roman" w:hAnsi="Times New Roman" w:cs="Times New Roman"/>
          <w:sz w:val="24"/>
          <w:lang w:val="bg-BG"/>
        </w:rPr>
        <w:t>импланти от долните крайници, въпреки че не са специално</w:t>
      </w:r>
      <w:r w:rsidR="009C28D6">
        <w:rPr>
          <w:rFonts w:ascii="Times New Roman" w:hAnsi="Times New Roman" w:cs="Times New Roman"/>
          <w:sz w:val="24"/>
          <w:lang w:val="bg-BG"/>
        </w:rPr>
        <w:t xml:space="preserve"> </w:t>
      </w:r>
      <w:r w:rsidRPr="004008DE">
        <w:rPr>
          <w:rFonts w:ascii="Times New Roman" w:hAnsi="Times New Roman" w:cs="Times New Roman"/>
          <w:sz w:val="24"/>
          <w:lang w:val="bg-BG"/>
        </w:rPr>
        <w:t>предназначени за тези случаи.</w:t>
      </w:r>
    </w:p>
    <w:p w:rsidR="00400D9D" w:rsidRDefault="00400D9D" w:rsidP="00276280">
      <w:pPr>
        <w:spacing w:after="0" w:line="240" w:lineRule="auto"/>
        <w:rPr>
          <w:rFonts w:ascii="Times New Roman" w:hAnsi="Times New Roman" w:cs="Times New Roman"/>
          <w:sz w:val="24"/>
          <w:lang w:val="bg-BG"/>
        </w:rPr>
      </w:pPr>
    </w:p>
    <w:p w:rsidR="00400D9D" w:rsidRPr="004008DE" w:rsidRDefault="004B472F" w:rsidP="00276280">
      <w:pPr>
        <w:spacing w:after="0" w:line="240" w:lineRule="auto"/>
        <w:ind w:firstLine="567"/>
        <w:rPr>
          <w:rFonts w:ascii="Times New Roman" w:hAnsi="Times New Roman" w:cs="Times New Roman"/>
          <w:sz w:val="24"/>
          <w:lang w:val="bg-BG"/>
        </w:rPr>
      </w:pPr>
      <w:r>
        <w:rPr>
          <w:rFonts w:ascii="Times New Roman" w:hAnsi="Times New Roman" w:cs="Times New Roman"/>
          <w:sz w:val="24"/>
          <w:lang w:val="bg-BG"/>
        </w:rPr>
        <w:t>БОТА препоръчва</w:t>
      </w:r>
      <w:r w:rsidR="00400D9D" w:rsidRPr="004008DE">
        <w:rPr>
          <w:rFonts w:ascii="Times New Roman" w:hAnsi="Times New Roman" w:cs="Times New Roman"/>
          <w:sz w:val="24"/>
          <w:lang w:val="bg-BG"/>
        </w:rPr>
        <w:t xml:space="preserve"> следните режими за профилактика:</w:t>
      </w:r>
    </w:p>
    <w:p w:rsidR="00400D9D" w:rsidRPr="004008DE" w:rsidRDefault="00400D9D" w:rsidP="00276280">
      <w:pPr>
        <w:spacing w:after="0" w:line="240" w:lineRule="auto"/>
        <w:rPr>
          <w:rFonts w:ascii="Times New Roman" w:hAnsi="Times New Roman" w:cs="Times New Roman"/>
          <w:sz w:val="24"/>
          <w:lang w:val="bg-BG"/>
        </w:rPr>
      </w:pPr>
    </w:p>
    <w:p w:rsidR="00400D9D" w:rsidRPr="004008DE" w:rsidRDefault="00400D9D" w:rsidP="00276280">
      <w:pPr>
        <w:pStyle w:val="ListParagraph"/>
        <w:numPr>
          <w:ilvl w:val="0"/>
          <w:numId w:val="2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 xml:space="preserve">При нискорискови за ВТЕ пациенти (Padua Prediction Score </w:t>
      </w:r>
      <w:r w:rsidR="004E72F1">
        <w:rPr>
          <w:rFonts w:ascii="Times New Roman" w:hAnsi="Times New Roman" w:cs="Times New Roman"/>
          <w:sz w:val="24"/>
          <w:lang w:val="bg-BG"/>
        </w:rPr>
        <w:t>&lt;4 т.</w:t>
      </w:r>
      <w:r w:rsidRPr="004008DE">
        <w:rPr>
          <w:rFonts w:ascii="Times New Roman" w:hAnsi="Times New Roman" w:cs="Times New Roman"/>
          <w:sz w:val="24"/>
          <w:lang w:val="bg-BG"/>
        </w:rPr>
        <w:t xml:space="preserve">) след травми дистално от коляното, лекувани оперативно, по преценка на оператора може да се провежда профилактика за 10 дни с ацетилсалицилова киселина (ASA, аспирин) в доза 100 mg/24 часа, като първата доза се приема </w:t>
      </w:r>
      <w:r w:rsidR="009C28D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преди оперативната интервенция, а първата следоперативна доза – </w:t>
      </w:r>
      <w:r w:rsidR="009C28D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p>
    <w:p w:rsidR="00400D9D" w:rsidRPr="004008DE" w:rsidRDefault="00400D9D" w:rsidP="00276280">
      <w:pPr>
        <w:pStyle w:val="ListParagraph"/>
        <w:numPr>
          <w:ilvl w:val="0"/>
          <w:numId w:val="2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При високорискови за ВТЕ пациенти (Padua Prediction Score ≥ 4 т) след травми дистално от коляното, лекувани оп</w:t>
      </w:r>
      <w:r w:rsidR="009C28D6">
        <w:rPr>
          <w:rFonts w:ascii="Times New Roman" w:hAnsi="Times New Roman" w:cs="Times New Roman"/>
          <w:sz w:val="24"/>
          <w:lang w:val="bg-BG"/>
        </w:rPr>
        <w:t>еративно -  профилактика за 10</w:t>
      </w:r>
      <w:r w:rsidR="00EF2448">
        <w:rPr>
          <w:rFonts w:ascii="Times New Roman" w:hAnsi="Times New Roman" w:cs="Times New Roman"/>
          <w:sz w:val="24"/>
          <w:lang w:val="bg-BG"/>
        </w:rPr>
        <w:noBreakHyphen/>
      </w:r>
      <w:r w:rsidRPr="00EF2448">
        <w:rPr>
          <w:rFonts w:ascii="Times New Roman" w:hAnsi="Times New Roman" w:cs="Times New Roman"/>
          <w:sz w:val="24"/>
          <w:lang w:val="bg-BG"/>
        </w:rPr>
        <w:t>30</w:t>
      </w:r>
      <w:r w:rsidRPr="004008DE">
        <w:rPr>
          <w:rFonts w:ascii="Times New Roman" w:hAnsi="Times New Roman" w:cs="Times New Roman"/>
          <w:sz w:val="24"/>
          <w:lang w:val="bg-BG"/>
        </w:rPr>
        <w:t xml:space="preserve"> дни</w:t>
      </w:r>
      <w:r w:rsidR="009C28D6">
        <w:rPr>
          <w:rFonts w:ascii="Times New Roman" w:hAnsi="Times New Roman" w:cs="Times New Roman"/>
          <w:sz w:val="24"/>
          <w:lang w:val="bg-BG"/>
        </w:rPr>
        <w:t xml:space="preserve"> (по преценка на оператора) </w:t>
      </w:r>
      <w:r w:rsidRPr="004008DE">
        <w:rPr>
          <w:rFonts w:ascii="Times New Roman" w:hAnsi="Times New Roman" w:cs="Times New Roman"/>
          <w:sz w:val="24"/>
          <w:lang w:val="bg-BG"/>
        </w:rPr>
        <w:t>с нискомолекулен хепарин в стандартна профилактична доза (Клексан 0,4 ml/24 часа</w:t>
      </w:r>
      <w:r w:rsidRPr="004008DE">
        <w:rPr>
          <w:rFonts w:ascii="Times New Roman" w:hAnsi="Times New Roman" w:cs="Times New Roman"/>
          <w:sz w:val="24"/>
          <w:vertAlign w:val="superscript"/>
          <w:lang w:val="bg-BG"/>
        </w:rPr>
        <w:t>64</w:t>
      </w:r>
      <w:r w:rsidRPr="004008DE">
        <w:rPr>
          <w:rFonts w:ascii="Times New Roman" w:hAnsi="Times New Roman" w:cs="Times New Roman"/>
          <w:sz w:val="24"/>
          <w:lang w:val="bg-BG"/>
        </w:rPr>
        <w:t>; Фраксипарин 0,2 ml/24 часа при телесно тегло под 50 кг, 0,3 ml/24 часа при телесно тегло 50-69 кг, 0,4 ml/24 часа при телесно тегло над 70 кг</w:t>
      </w:r>
      <w:r w:rsidRPr="004008DE">
        <w:rPr>
          <w:rFonts w:ascii="Times New Roman" w:hAnsi="Times New Roman" w:cs="Times New Roman"/>
          <w:sz w:val="24"/>
          <w:vertAlign w:val="superscript"/>
          <w:lang w:val="bg-BG"/>
        </w:rPr>
        <w:t>62</w:t>
      </w:r>
      <w:r w:rsidRPr="004008DE">
        <w:rPr>
          <w:rFonts w:ascii="Times New Roman" w:hAnsi="Times New Roman" w:cs="Times New Roman"/>
          <w:sz w:val="24"/>
          <w:lang w:val="bg-BG"/>
        </w:rPr>
        <w:t xml:space="preserve">), като първата доза се прилага </w:t>
      </w:r>
      <w:r w:rsidR="009C28D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часа преди оперативната интервенция, а първата следоперативна доза – </w:t>
      </w:r>
      <w:r w:rsidR="009C28D6">
        <w:rPr>
          <w:rFonts w:ascii="Times New Roman" w:hAnsi="Times New Roman" w:cs="Times New Roman"/>
          <w:sz w:val="24"/>
          <w:lang w:val="bg-BG"/>
        </w:rPr>
        <w:t xml:space="preserve">6-12 </w:t>
      </w:r>
      <w:r w:rsidRPr="004008DE">
        <w:rPr>
          <w:rFonts w:ascii="Times New Roman" w:hAnsi="Times New Roman" w:cs="Times New Roman"/>
          <w:sz w:val="24"/>
          <w:lang w:val="bg-BG"/>
        </w:rPr>
        <w:t xml:space="preserve"> часа следоперативно.</w:t>
      </w:r>
    </w:p>
    <w:p w:rsidR="00400D9D" w:rsidRPr="004008DE" w:rsidRDefault="00400D9D" w:rsidP="00276280">
      <w:pPr>
        <w:pStyle w:val="ListParagraph"/>
        <w:numPr>
          <w:ilvl w:val="0"/>
          <w:numId w:val="22"/>
        </w:numPr>
        <w:spacing w:after="0" w:line="240" w:lineRule="auto"/>
        <w:ind w:left="567" w:hanging="567"/>
        <w:rPr>
          <w:rFonts w:ascii="Times New Roman" w:hAnsi="Times New Roman" w:cs="Times New Roman"/>
          <w:sz w:val="24"/>
          <w:lang w:val="bg-BG"/>
        </w:rPr>
      </w:pPr>
      <w:r w:rsidRPr="004008DE">
        <w:rPr>
          <w:rFonts w:ascii="Times New Roman" w:hAnsi="Times New Roman" w:cs="Times New Roman"/>
          <w:sz w:val="24"/>
          <w:lang w:val="bg-BG"/>
        </w:rPr>
        <w:t>Всеки от посочените методи за фармакологична профилактика може да се комбинира с механична профилактика (ранна мобилизация, компресивни чорапи с градирана компресия,  интермитентна пневматична компресия и венозна ходилна помпа), като механичната профилактика може да се прилага и като самостоятелна.</w:t>
      </w:r>
    </w:p>
    <w:p w:rsidR="002D699C" w:rsidRPr="004008DE" w:rsidRDefault="002D699C" w:rsidP="00276280">
      <w:pPr>
        <w:pStyle w:val="ListParagraph"/>
        <w:spacing w:after="0" w:line="240" w:lineRule="auto"/>
        <w:ind w:left="0"/>
        <w:rPr>
          <w:rFonts w:ascii="Times New Roman" w:hAnsi="Times New Roman" w:cs="Times New Roman"/>
          <w:sz w:val="24"/>
          <w:u w:val="single"/>
          <w:lang w:val="bg-BG"/>
        </w:rPr>
      </w:pPr>
    </w:p>
    <w:p w:rsidR="00A702CD" w:rsidRPr="00DA0BF0" w:rsidRDefault="00DA0BF0" w:rsidP="00276280">
      <w:pPr>
        <w:spacing w:line="240" w:lineRule="auto"/>
        <w:ind w:firstLine="567"/>
        <w:rPr>
          <w:rFonts w:ascii="Times New Roman" w:hAnsi="Times New Roman" w:cs="Times New Roman"/>
          <w:b/>
          <w:sz w:val="24"/>
          <w:u w:val="single"/>
          <w:lang w:val="bg-BG"/>
        </w:rPr>
      </w:pPr>
      <w:r>
        <w:rPr>
          <w:rFonts w:ascii="Times New Roman" w:hAnsi="Times New Roman" w:cs="Times New Roman"/>
          <w:b/>
          <w:sz w:val="24"/>
          <w:u w:val="single"/>
          <w:lang w:val="en-US"/>
        </w:rPr>
        <w:t xml:space="preserve">5. </w:t>
      </w:r>
      <w:r w:rsidR="00A06930" w:rsidRPr="00DA0BF0">
        <w:rPr>
          <w:rFonts w:ascii="Times New Roman" w:hAnsi="Times New Roman" w:cs="Times New Roman"/>
          <w:b/>
          <w:sz w:val="24"/>
          <w:u w:val="single"/>
          <w:lang w:val="bg-BG"/>
        </w:rPr>
        <w:t>Поведение при пациенти на антикоагулантна/антиагрегантна терапия</w:t>
      </w:r>
    </w:p>
    <w:p w:rsidR="00464BB3" w:rsidRPr="00464BB3" w:rsidRDefault="00464BB3" w:rsidP="00276280">
      <w:pPr>
        <w:spacing w:after="0" w:line="240" w:lineRule="auto"/>
        <w:ind w:firstLine="567"/>
        <w:rPr>
          <w:rFonts w:ascii="Times New Roman" w:hAnsi="Times New Roman" w:cs="Times New Roman"/>
          <w:sz w:val="24"/>
          <w:lang w:val="bg-BG"/>
        </w:rPr>
      </w:pPr>
      <w:r w:rsidRPr="00464BB3">
        <w:rPr>
          <w:rFonts w:ascii="Times New Roman" w:hAnsi="Times New Roman" w:cs="Times New Roman"/>
          <w:sz w:val="24"/>
          <w:lang w:val="bg-BG"/>
        </w:rPr>
        <w:t>Оптималното лечение на пациенти</w:t>
      </w:r>
      <w:r w:rsidR="00246A48">
        <w:rPr>
          <w:rFonts w:ascii="Times New Roman" w:hAnsi="Times New Roman" w:cs="Times New Roman"/>
          <w:sz w:val="24"/>
          <w:lang w:val="bg-BG"/>
        </w:rPr>
        <w:t xml:space="preserve"> </w:t>
      </w:r>
      <w:r w:rsidRPr="00464BB3">
        <w:rPr>
          <w:rFonts w:ascii="Times New Roman" w:hAnsi="Times New Roman" w:cs="Times New Roman"/>
          <w:sz w:val="24"/>
          <w:lang w:val="bg-BG"/>
        </w:rPr>
        <w:t xml:space="preserve">на антиагреганти и/или антикоагуланти, </w:t>
      </w:r>
      <w:r>
        <w:rPr>
          <w:rFonts w:ascii="Times New Roman" w:hAnsi="Times New Roman" w:cs="Times New Roman"/>
          <w:sz w:val="24"/>
          <w:lang w:val="bg-BG"/>
        </w:rPr>
        <w:t>нуждаещи се от ортопедична операция</w:t>
      </w:r>
      <w:r w:rsidRPr="00464BB3">
        <w:rPr>
          <w:rFonts w:ascii="Times New Roman" w:hAnsi="Times New Roman" w:cs="Times New Roman"/>
          <w:sz w:val="24"/>
          <w:lang w:val="bg-BG"/>
        </w:rPr>
        <w:t>,</w:t>
      </w:r>
      <w:r w:rsidR="00246A48">
        <w:rPr>
          <w:rFonts w:ascii="Times New Roman" w:hAnsi="Times New Roman" w:cs="Times New Roman"/>
          <w:sz w:val="24"/>
          <w:lang w:val="bg-BG"/>
        </w:rPr>
        <w:t xml:space="preserve"> </w:t>
      </w:r>
      <w:r w:rsidRPr="00464BB3">
        <w:rPr>
          <w:rFonts w:ascii="Times New Roman" w:hAnsi="Times New Roman" w:cs="Times New Roman"/>
          <w:sz w:val="24"/>
          <w:lang w:val="bg-BG"/>
        </w:rPr>
        <w:t>трябва да включва оценка на риска и ползата, оценявайки</w:t>
      </w:r>
      <w:r w:rsidR="003E55FD">
        <w:rPr>
          <w:rFonts w:ascii="Times New Roman" w:hAnsi="Times New Roman" w:cs="Times New Roman"/>
          <w:sz w:val="24"/>
          <w:lang w:val="bg-BG"/>
        </w:rPr>
        <w:t xml:space="preserve"> </w:t>
      </w:r>
      <w:r w:rsidRPr="00464BB3">
        <w:rPr>
          <w:rFonts w:ascii="Times New Roman" w:hAnsi="Times New Roman" w:cs="Times New Roman"/>
          <w:sz w:val="24"/>
          <w:lang w:val="bg-BG"/>
        </w:rPr>
        <w:t>риска от кървене спрямо този от тромбоза. В зависимост от</w:t>
      </w:r>
    </w:p>
    <w:p w:rsidR="00464BB3" w:rsidRDefault="00464BB3" w:rsidP="00276280">
      <w:pPr>
        <w:spacing w:after="0" w:line="240" w:lineRule="auto"/>
        <w:rPr>
          <w:rFonts w:ascii="Times New Roman" w:hAnsi="Times New Roman" w:cs="Times New Roman"/>
          <w:sz w:val="24"/>
          <w:lang w:val="bg-BG"/>
        </w:rPr>
      </w:pPr>
      <w:r w:rsidRPr="00464BB3">
        <w:rPr>
          <w:rFonts w:ascii="Times New Roman" w:hAnsi="Times New Roman" w:cs="Times New Roman"/>
          <w:sz w:val="24"/>
          <w:lang w:val="bg-BG"/>
        </w:rPr>
        <w:t xml:space="preserve">степента на спешност, </w:t>
      </w:r>
      <w:r>
        <w:rPr>
          <w:rFonts w:ascii="Times New Roman" w:hAnsi="Times New Roman" w:cs="Times New Roman"/>
          <w:sz w:val="24"/>
          <w:lang w:val="bg-BG"/>
        </w:rPr>
        <w:t xml:space="preserve">тежестта </w:t>
      </w:r>
      <w:r w:rsidRPr="00464BB3">
        <w:rPr>
          <w:rFonts w:ascii="Times New Roman" w:hAnsi="Times New Roman" w:cs="Times New Roman"/>
          <w:sz w:val="24"/>
          <w:lang w:val="bg-BG"/>
        </w:rPr>
        <w:t>на травмата и коагулационния</w:t>
      </w:r>
      <w:r>
        <w:rPr>
          <w:rFonts w:ascii="Times New Roman" w:hAnsi="Times New Roman" w:cs="Times New Roman"/>
          <w:sz w:val="24"/>
          <w:lang w:val="bg-BG"/>
        </w:rPr>
        <w:t xml:space="preserve">т </w:t>
      </w:r>
      <w:r w:rsidRPr="00464BB3">
        <w:rPr>
          <w:rFonts w:ascii="Times New Roman" w:hAnsi="Times New Roman" w:cs="Times New Roman"/>
          <w:sz w:val="24"/>
          <w:lang w:val="bg-BG"/>
        </w:rPr>
        <w:t>статус на пациента, оптималният подход може да включва</w:t>
      </w:r>
      <w:r w:rsidR="003E55FD">
        <w:rPr>
          <w:rFonts w:ascii="Times New Roman" w:hAnsi="Times New Roman" w:cs="Times New Roman"/>
          <w:sz w:val="24"/>
          <w:lang w:val="bg-BG"/>
        </w:rPr>
        <w:t xml:space="preserve"> </w:t>
      </w:r>
      <w:r w:rsidRPr="00464BB3">
        <w:rPr>
          <w:rFonts w:ascii="Times New Roman" w:hAnsi="Times New Roman" w:cs="Times New Roman"/>
          <w:sz w:val="24"/>
          <w:lang w:val="bg-BG"/>
        </w:rPr>
        <w:t>отлагане на процедурата</w:t>
      </w:r>
      <w:r>
        <w:rPr>
          <w:rFonts w:ascii="Times New Roman" w:hAnsi="Times New Roman" w:cs="Times New Roman"/>
          <w:sz w:val="24"/>
          <w:lang w:val="bg-BG"/>
        </w:rPr>
        <w:t xml:space="preserve">, </w:t>
      </w:r>
      <w:r w:rsidR="00097F1C">
        <w:rPr>
          <w:rFonts w:ascii="Times New Roman" w:hAnsi="Times New Roman" w:cs="Times New Roman"/>
          <w:sz w:val="24"/>
          <w:lang w:val="bg-BG"/>
        </w:rPr>
        <w:t>„примостяване“</w:t>
      </w:r>
      <w:r>
        <w:rPr>
          <w:rFonts w:ascii="Times New Roman" w:hAnsi="Times New Roman" w:cs="Times New Roman"/>
          <w:sz w:val="24"/>
          <w:lang w:val="bg-BG"/>
        </w:rPr>
        <w:t xml:space="preserve"> на приемания от пациента антикоагулант или антиагрегант с нефракциониран или нискомолекулен хепарин за определено време или приложение на антидот на приемания от пациента препарат.</w:t>
      </w:r>
    </w:p>
    <w:p w:rsidR="00464BB3" w:rsidRDefault="00464BB3"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ab/>
      </w:r>
      <w:r w:rsidRPr="00464BB3">
        <w:rPr>
          <w:rFonts w:ascii="Times New Roman" w:hAnsi="Times New Roman" w:cs="Times New Roman"/>
          <w:sz w:val="24"/>
          <w:lang w:val="bg-BG"/>
        </w:rPr>
        <w:t>Средно 1 от 10 хирургични пациенти са на продължителна</w:t>
      </w:r>
      <w:r w:rsidR="003E55FD">
        <w:rPr>
          <w:rFonts w:ascii="Times New Roman" w:hAnsi="Times New Roman" w:cs="Times New Roman"/>
          <w:sz w:val="24"/>
          <w:lang w:val="bg-BG"/>
        </w:rPr>
        <w:t xml:space="preserve"> </w:t>
      </w:r>
      <w:r w:rsidRPr="00464BB3">
        <w:rPr>
          <w:rFonts w:ascii="Times New Roman" w:hAnsi="Times New Roman" w:cs="Times New Roman"/>
          <w:sz w:val="24"/>
          <w:lang w:val="bg-BG"/>
        </w:rPr>
        <w:t>антикоагулантна или антиагрегантна терапия и повечето от</w:t>
      </w:r>
      <w:r w:rsidR="002D57E0">
        <w:rPr>
          <w:rFonts w:ascii="Times New Roman" w:hAnsi="Times New Roman" w:cs="Times New Roman"/>
          <w:sz w:val="24"/>
          <w:lang w:val="bg-BG"/>
        </w:rPr>
        <w:t xml:space="preserve"> </w:t>
      </w:r>
      <w:r w:rsidRPr="00464BB3">
        <w:rPr>
          <w:rFonts w:ascii="Times New Roman" w:hAnsi="Times New Roman" w:cs="Times New Roman"/>
          <w:sz w:val="24"/>
          <w:lang w:val="bg-BG"/>
        </w:rPr>
        <w:t>тях се нуждаят от временно спиране на тази</w:t>
      </w:r>
      <w:r w:rsidR="00246A48">
        <w:rPr>
          <w:rFonts w:ascii="Times New Roman" w:hAnsi="Times New Roman" w:cs="Times New Roman"/>
          <w:sz w:val="24"/>
          <w:lang w:val="bg-BG"/>
        </w:rPr>
        <w:t xml:space="preserve"> </w:t>
      </w:r>
      <w:r w:rsidRPr="00464BB3">
        <w:rPr>
          <w:rFonts w:ascii="Times New Roman" w:hAnsi="Times New Roman" w:cs="Times New Roman"/>
          <w:sz w:val="24"/>
          <w:lang w:val="bg-BG"/>
        </w:rPr>
        <w:t>терапия,</w:t>
      </w:r>
      <w:r w:rsidR="00246A48">
        <w:rPr>
          <w:rFonts w:ascii="Times New Roman" w:hAnsi="Times New Roman" w:cs="Times New Roman"/>
          <w:sz w:val="24"/>
          <w:lang w:val="bg-BG"/>
        </w:rPr>
        <w:t xml:space="preserve"> </w:t>
      </w:r>
      <w:r w:rsidR="00097F1C">
        <w:rPr>
          <w:rFonts w:ascii="Times New Roman" w:hAnsi="Times New Roman" w:cs="Times New Roman"/>
          <w:sz w:val="24"/>
          <w:lang w:val="bg-BG"/>
        </w:rPr>
        <w:t>примостяваща терапия</w:t>
      </w:r>
      <w:r>
        <w:rPr>
          <w:rFonts w:ascii="Times New Roman" w:hAnsi="Times New Roman" w:cs="Times New Roman"/>
          <w:sz w:val="24"/>
          <w:lang w:val="bg-BG"/>
        </w:rPr>
        <w:t xml:space="preserve"> или приложение на антидот</w:t>
      </w:r>
      <w:r w:rsidR="00C001A4" w:rsidRPr="00C001A4">
        <w:rPr>
          <w:rFonts w:ascii="Times New Roman" w:hAnsi="Times New Roman" w:cs="Times New Roman"/>
          <w:sz w:val="24"/>
          <w:vertAlign w:val="superscript"/>
          <w:lang w:val="bg-BG"/>
        </w:rPr>
        <w:t>112-114</w:t>
      </w:r>
      <w:r w:rsidRPr="00464BB3">
        <w:rPr>
          <w:rFonts w:ascii="Times New Roman" w:hAnsi="Times New Roman" w:cs="Times New Roman"/>
          <w:sz w:val="24"/>
          <w:lang w:val="bg-BG"/>
        </w:rPr>
        <w:t>. Устан</w:t>
      </w:r>
      <w:r w:rsidR="00C001A4">
        <w:rPr>
          <w:rFonts w:ascii="Times New Roman" w:hAnsi="Times New Roman" w:cs="Times New Roman"/>
          <w:sz w:val="24"/>
          <w:lang w:val="bg-BG"/>
        </w:rPr>
        <w:t>о</w:t>
      </w:r>
      <w:r w:rsidRPr="00464BB3">
        <w:rPr>
          <w:rFonts w:ascii="Times New Roman" w:hAnsi="Times New Roman" w:cs="Times New Roman"/>
          <w:sz w:val="24"/>
          <w:lang w:val="bg-BG"/>
        </w:rPr>
        <w:t>вено е, че</w:t>
      </w:r>
      <w:r w:rsidR="002D57E0">
        <w:rPr>
          <w:rFonts w:ascii="Times New Roman" w:hAnsi="Times New Roman" w:cs="Times New Roman"/>
          <w:sz w:val="24"/>
          <w:lang w:val="bg-BG"/>
        </w:rPr>
        <w:t xml:space="preserve"> </w:t>
      </w:r>
      <w:r w:rsidRPr="00464BB3">
        <w:rPr>
          <w:rFonts w:ascii="Times New Roman" w:hAnsi="Times New Roman" w:cs="Times New Roman"/>
          <w:sz w:val="24"/>
          <w:lang w:val="bg-BG"/>
        </w:rPr>
        <w:t>спешн</w:t>
      </w:r>
      <w:r w:rsidR="00C001A4">
        <w:rPr>
          <w:rFonts w:ascii="Times New Roman" w:hAnsi="Times New Roman" w:cs="Times New Roman"/>
          <w:sz w:val="24"/>
          <w:lang w:val="bg-BG"/>
        </w:rPr>
        <w:t xml:space="preserve">ите хирургични интервенции </w:t>
      </w:r>
      <w:r w:rsidRPr="00464BB3">
        <w:rPr>
          <w:rFonts w:ascii="Times New Roman" w:hAnsi="Times New Roman" w:cs="Times New Roman"/>
          <w:sz w:val="24"/>
          <w:lang w:val="bg-BG"/>
        </w:rPr>
        <w:t>не трябва да се забавя</w:t>
      </w:r>
      <w:r w:rsidR="00C001A4">
        <w:rPr>
          <w:rFonts w:ascii="Times New Roman" w:hAnsi="Times New Roman" w:cs="Times New Roman"/>
          <w:sz w:val="24"/>
          <w:lang w:val="bg-BG"/>
        </w:rPr>
        <w:t>т</w:t>
      </w:r>
      <w:r w:rsidRPr="00464BB3">
        <w:rPr>
          <w:rFonts w:ascii="Times New Roman" w:hAnsi="Times New Roman" w:cs="Times New Roman"/>
          <w:sz w:val="24"/>
          <w:lang w:val="bg-BG"/>
        </w:rPr>
        <w:t xml:space="preserve"> при</w:t>
      </w:r>
      <w:r w:rsidR="00246A48">
        <w:rPr>
          <w:rFonts w:ascii="Times New Roman" w:hAnsi="Times New Roman" w:cs="Times New Roman"/>
          <w:sz w:val="24"/>
          <w:lang w:val="bg-BG"/>
        </w:rPr>
        <w:t xml:space="preserve"> </w:t>
      </w:r>
      <w:r w:rsidRPr="00464BB3">
        <w:rPr>
          <w:rFonts w:ascii="Times New Roman" w:hAnsi="Times New Roman" w:cs="Times New Roman"/>
          <w:sz w:val="24"/>
          <w:lang w:val="bg-BG"/>
        </w:rPr>
        <w:t xml:space="preserve">пациенти на </w:t>
      </w:r>
      <w:r w:rsidRPr="00464BB3">
        <w:rPr>
          <w:rFonts w:ascii="Times New Roman" w:hAnsi="Times New Roman" w:cs="Times New Roman"/>
          <w:sz w:val="24"/>
          <w:lang w:val="bg-BG"/>
        </w:rPr>
        <w:lastRenderedPageBreak/>
        <w:t>антиагрегантна терапия, дори при тези,</w:t>
      </w:r>
      <w:r w:rsidR="00246A48">
        <w:rPr>
          <w:rFonts w:ascii="Times New Roman" w:hAnsi="Times New Roman" w:cs="Times New Roman"/>
          <w:sz w:val="24"/>
          <w:lang w:val="bg-BG"/>
        </w:rPr>
        <w:t xml:space="preserve"> </w:t>
      </w:r>
      <w:r w:rsidRPr="00464BB3">
        <w:rPr>
          <w:rFonts w:ascii="Times New Roman" w:hAnsi="Times New Roman" w:cs="Times New Roman"/>
          <w:sz w:val="24"/>
          <w:lang w:val="bg-BG"/>
        </w:rPr>
        <w:t>получаващи двойна антитромбо</w:t>
      </w:r>
      <w:r w:rsidR="00246A48">
        <w:rPr>
          <w:rFonts w:ascii="Times New Roman" w:hAnsi="Times New Roman" w:cs="Times New Roman"/>
          <w:sz w:val="24"/>
          <w:lang w:val="bg-BG"/>
        </w:rPr>
        <w:t>тична</w:t>
      </w:r>
      <w:r w:rsidRPr="00464BB3">
        <w:rPr>
          <w:rFonts w:ascii="Times New Roman" w:hAnsi="Times New Roman" w:cs="Times New Roman"/>
          <w:sz w:val="24"/>
          <w:lang w:val="bg-BG"/>
        </w:rPr>
        <w:t xml:space="preserve"> терапия</w:t>
      </w:r>
      <w:r w:rsidRPr="00C001A4">
        <w:rPr>
          <w:rFonts w:ascii="Times New Roman" w:hAnsi="Times New Roman" w:cs="Times New Roman"/>
          <w:sz w:val="24"/>
          <w:vertAlign w:val="superscript"/>
          <w:lang w:val="bg-BG"/>
        </w:rPr>
        <w:t>11</w:t>
      </w:r>
      <w:r w:rsidR="00C001A4" w:rsidRPr="00C001A4">
        <w:rPr>
          <w:rFonts w:ascii="Times New Roman" w:hAnsi="Times New Roman" w:cs="Times New Roman"/>
          <w:sz w:val="24"/>
          <w:vertAlign w:val="superscript"/>
          <w:lang w:val="bg-BG"/>
        </w:rPr>
        <w:t>5</w:t>
      </w:r>
      <w:r w:rsidRPr="00C001A4">
        <w:rPr>
          <w:rFonts w:ascii="Times New Roman" w:hAnsi="Times New Roman" w:cs="Times New Roman"/>
          <w:sz w:val="24"/>
          <w:vertAlign w:val="superscript"/>
          <w:lang w:val="bg-BG"/>
        </w:rPr>
        <w:t>,11</w:t>
      </w:r>
      <w:r w:rsidR="00C001A4" w:rsidRPr="00C001A4">
        <w:rPr>
          <w:rFonts w:ascii="Times New Roman" w:hAnsi="Times New Roman" w:cs="Times New Roman"/>
          <w:sz w:val="24"/>
          <w:vertAlign w:val="superscript"/>
          <w:lang w:val="bg-BG"/>
        </w:rPr>
        <w:t>6</w:t>
      </w:r>
      <w:r w:rsidRPr="00464BB3">
        <w:rPr>
          <w:rFonts w:ascii="Times New Roman" w:hAnsi="Times New Roman" w:cs="Times New Roman"/>
          <w:sz w:val="24"/>
          <w:lang w:val="bg-BG"/>
        </w:rPr>
        <w:t>. Като се</w:t>
      </w:r>
      <w:r w:rsidR="00C351A5">
        <w:rPr>
          <w:rFonts w:ascii="Times New Roman" w:hAnsi="Times New Roman" w:cs="Times New Roman"/>
          <w:sz w:val="24"/>
          <w:lang w:val="bg-BG"/>
        </w:rPr>
        <w:t xml:space="preserve"> </w:t>
      </w:r>
      <w:r w:rsidRPr="00464BB3">
        <w:rPr>
          <w:rFonts w:ascii="Times New Roman" w:hAnsi="Times New Roman" w:cs="Times New Roman"/>
          <w:sz w:val="24"/>
          <w:lang w:val="bg-BG"/>
        </w:rPr>
        <w:t>има предвид голямото разнообразие от налични</w:t>
      </w:r>
      <w:r w:rsidR="00C351A5">
        <w:rPr>
          <w:rFonts w:ascii="Times New Roman" w:hAnsi="Times New Roman" w:cs="Times New Roman"/>
          <w:sz w:val="24"/>
          <w:lang w:val="bg-BG"/>
        </w:rPr>
        <w:t xml:space="preserve"> </w:t>
      </w:r>
      <w:r w:rsidRPr="00464BB3">
        <w:rPr>
          <w:rFonts w:ascii="Times New Roman" w:hAnsi="Times New Roman" w:cs="Times New Roman"/>
          <w:sz w:val="24"/>
          <w:lang w:val="bg-BG"/>
        </w:rPr>
        <w:t>антикоагуланти, съществува значителна разнородност по</w:t>
      </w:r>
      <w:r w:rsidR="00C351A5">
        <w:rPr>
          <w:rFonts w:ascii="Times New Roman" w:hAnsi="Times New Roman" w:cs="Times New Roman"/>
          <w:sz w:val="24"/>
          <w:lang w:val="bg-BG"/>
        </w:rPr>
        <w:t xml:space="preserve"> </w:t>
      </w:r>
      <w:r w:rsidRPr="00464BB3">
        <w:rPr>
          <w:rFonts w:ascii="Times New Roman" w:hAnsi="Times New Roman" w:cs="Times New Roman"/>
          <w:sz w:val="24"/>
          <w:lang w:val="bg-BG"/>
        </w:rPr>
        <w:t>отношение на предоперати</w:t>
      </w:r>
      <w:r w:rsidR="00C001A4">
        <w:rPr>
          <w:rFonts w:ascii="Times New Roman" w:hAnsi="Times New Roman" w:cs="Times New Roman"/>
          <w:sz w:val="24"/>
          <w:lang w:val="bg-BG"/>
        </w:rPr>
        <w:t>вния подход при тези пациенти</w:t>
      </w:r>
      <w:r w:rsidRPr="00464BB3">
        <w:rPr>
          <w:rFonts w:ascii="Times New Roman" w:hAnsi="Times New Roman" w:cs="Times New Roman"/>
          <w:sz w:val="24"/>
          <w:lang w:val="bg-BG"/>
        </w:rPr>
        <w:t>.</w:t>
      </w:r>
    </w:p>
    <w:p w:rsidR="00A83F95" w:rsidRPr="00C001A4" w:rsidRDefault="00C001A4" w:rsidP="00276280">
      <w:pPr>
        <w:spacing w:after="0" w:line="240" w:lineRule="auto"/>
        <w:ind w:firstLine="720"/>
        <w:rPr>
          <w:rFonts w:ascii="Times New Roman" w:hAnsi="Times New Roman" w:cs="Times New Roman"/>
          <w:sz w:val="24"/>
          <w:lang w:val="bg-BG"/>
        </w:rPr>
      </w:pPr>
      <w:r w:rsidRPr="00C001A4">
        <w:rPr>
          <w:rFonts w:ascii="Times New Roman" w:hAnsi="Times New Roman" w:cs="Times New Roman"/>
          <w:sz w:val="24"/>
          <w:lang w:val="bg-BG"/>
        </w:rPr>
        <w:t>Kingetal.</w:t>
      </w:r>
      <w:r w:rsidRPr="00A83F95">
        <w:rPr>
          <w:rFonts w:ascii="Times New Roman" w:hAnsi="Times New Roman" w:cs="Times New Roman"/>
          <w:sz w:val="24"/>
          <w:vertAlign w:val="superscript"/>
          <w:lang w:val="bg-BG"/>
        </w:rPr>
        <w:t>117</w:t>
      </w:r>
      <w:r w:rsidRPr="00C001A4">
        <w:rPr>
          <w:rFonts w:ascii="Times New Roman" w:hAnsi="Times New Roman" w:cs="Times New Roman"/>
          <w:sz w:val="24"/>
          <w:lang w:val="bg-BG"/>
        </w:rPr>
        <w:t xml:space="preserve"> стига</w:t>
      </w:r>
      <w:r w:rsidR="00A83F95">
        <w:rPr>
          <w:rFonts w:ascii="Times New Roman" w:hAnsi="Times New Roman" w:cs="Times New Roman"/>
          <w:sz w:val="24"/>
          <w:lang w:val="bg-BG"/>
        </w:rPr>
        <w:t>т</w:t>
      </w:r>
      <w:r w:rsidRPr="00C001A4">
        <w:rPr>
          <w:rFonts w:ascii="Times New Roman" w:hAnsi="Times New Roman" w:cs="Times New Roman"/>
          <w:sz w:val="24"/>
          <w:lang w:val="bg-BG"/>
        </w:rPr>
        <w:t xml:space="preserve"> до извода, че приемането на </w:t>
      </w:r>
      <w:r w:rsidR="00A83F95">
        <w:rPr>
          <w:rFonts w:ascii="Times New Roman" w:hAnsi="Times New Roman" w:cs="Times New Roman"/>
          <w:sz w:val="24"/>
          <w:lang w:val="bg-BG"/>
        </w:rPr>
        <w:t xml:space="preserve">директни перорални антикоагуланти </w:t>
      </w:r>
      <w:r w:rsidR="00A83F95">
        <w:rPr>
          <w:rFonts w:ascii="Times New Roman" w:hAnsi="Times New Roman" w:cs="Times New Roman"/>
          <w:sz w:val="24"/>
          <w:lang w:val="en-US"/>
        </w:rPr>
        <w:t>(</w:t>
      </w:r>
      <w:r w:rsidR="00A83F95">
        <w:rPr>
          <w:rFonts w:ascii="Times New Roman" w:hAnsi="Times New Roman" w:cs="Times New Roman"/>
          <w:sz w:val="24"/>
          <w:lang w:val="bg-BG"/>
        </w:rPr>
        <w:t>ДПАК</w:t>
      </w:r>
      <w:r w:rsidR="00A83F95">
        <w:rPr>
          <w:rFonts w:ascii="Times New Roman" w:hAnsi="Times New Roman" w:cs="Times New Roman"/>
          <w:sz w:val="24"/>
          <w:lang w:val="en-US"/>
        </w:rPr>
        <w:t xml:space="preserve">) </w:t>
      </w:r>
      <w:r w:rsidRPr="00C001A4">
        <w:rPr>
          <w:rFonts w:ascii="Times New Roman" w:hAnsi="Times New Roman" w:cs="Times New Roman"/>
          <w:sz w:val="24"/>
          <w:lang w:val="bg-BG"/>
        </w:rPr>
        <w:t>при</w:t>
      </w:r>
      <w:r w:rsidR="00C351A5">
        <w:rPr>
          <w:rFonts w:ascii="Times New Roman" w:hAnsi="Times New Roman" w:cs="Times New Roman"/>
          <w:sz w:val="24"/>
          <w:lang w:val="bg-BG"/>
        </w:rPr>
        <w:t xml:space="preserve"> </w:t>
      </w:r>
      <w:r w:rsidRPr="00C001A4">
        <w:rPr>
          <w:rFonts w:ascii="Times New Roman" w:hAnsi="Times New Roman" w:cs="Times New Roman"/>
          <w:sz w:val="24"/>
          <w:lang w:val="bg-BG"/>
        </w:rPr>
        <w:t>постъпване не е причина за забавяне на операцията за</w:t>
      </w:r>
      <w:r w:rsidR="00C351A5">
        <w:rPr>
          <w:rFonts w:ascii="Times New Roman" w:hAnsi="Times New Roman" w:cs="Times New Roman"/>
          <w:sz w:val="24"/>
          <w:lang w:val="bg-BG"/>
        </w:rPr>
        <w:t xml:space="preserve"> </w:t>
      </w:r>
      <w:r w:rsidRPr="00C001A4">
        <w:rPr>
          <w:rFonts w:ascii="Times New Roman" w:hAnsi="Times New Roman" w:cs="Times New Roman"/>
          <w:sz w:val="24"/>
          <w:lang w:val="bg-BG"/>
        </w:rPr>
        <w:t>фрактура на</w:t>
      </w:r>
      <w:r w:rsidR="00C351A5">
        <w:rPr>
          <w:rFonts w:ascii="Times New Roman" w:hAnsi="Times New Roman" w:cs="Times New Roman"/>
          <w:sz w:val="24"/>
          <w:lang w:val="bg-BG"/>
        </w:rPr>
        <w:t xml:space="preserve"> </w:t>
      </w:r>
      <w:r w:rsidR="000A3916">
        <w:rPr>
          <w:rFonts w:ascii="Times New Roman" w:hAnsi="Times New Roman" w:cs="Times New Roman"/>
          <w:sz w:val="24"/>
          <w:lang w:val="bg-BG"/>
        </w:rPr>
        <w:t>бедрената кост</w:t>
      </w:r>
      <w:r w:rsidRPr="00C001A4">
        <w:rPr>
          <w:rFonts w:ascii="Times New Roman" w:hAnsi="Times New Roman" w:cs="Times New Roman"/>
          <w:sz w:val="24"/>
          <w:lang w:val="bg-BG"/>
        </w:rPr>
        <w:t xml:space="preserve">. </w:t>
      </w:r>
    </w:p>
    <w:p w:rsidR="00C001A4" w:rsidRPr="00C001A4" w:rsidRDefault="00C001A4" w:rsidP="00276280">
      <w:pPr>
        <w:spacing w:after="0" w:line="240" w:lineRule="auto"/>
        <w:ind w:firstLine="720"/>
        <w:rPr>
          <w:rFonts w:ascii="Times New Roman" w:hAnsi="Times New Roman" w:cs="Times New Roman"/>
          <w:sz w:val="24"/>
          <w:lang w:val="bg-BG"/>
        </w:rPr>
      </w:pPr>
      <w:r w:rsidRPr="00C001A4">
        <w:rPr>
          <w:rFonts w:ascii="Times New Roman" w:hAnsi="Times New Roman" w:cs="Times New Roman"/>
          <w:sz w:val="24"/>
          <w:lang w:val="bg-BG"/>
        </w:rPr>
        <w:t>Schuetze et al.</w:t>
      </w:r>
      <w:r w:rsidR="00A83F95" w:rsidRPr="00A83F95">
        <w:rPr>
          <w:rFonts w:ascii="Times New Roman" w:hAnsi="Times New Roman" w:cs="Times New Roman"/>
          <w:sz w:val="24"/>
          <w:vertAlign w:val="superscript"/>
          <w:lang w:val="bg-BG"/>
        </w:rPr>
        <w:t>118</w:t>
      </w:r>
      <w:r w:rsidRPr="00C001A4">
        <w:rPr>
          <w:rFonts w:ascii="Times New Roman" w:hAnsi="Times New Roman" w:cs="Times New Roman"/>
          <w:sz w:val="24"/>
          <w:lang w:val="bg-BG"/>
        </w:rPr>
        <w:t xml:space="preserve"> отбелязват, че ранното</w:t>
      </w:r>
      <w:r w:rsidR="00C351A5">
        <w:rPr>
          <w:rFonts w:ascii="Times New Roman" w:hAnsi="Times New Roman" w:cs="Times New Roman"/>
          <w:sz w:val="24"/>
          <w:lang w:val="bg-BG"/>
        </w:rPr>
        <w:t xml:space="preserve"> </w:t>
      </w:r>
      <w:r w:rsidRPr="00C001A4">
        <w:rPr>
          <w:rFonts w:ascii="Times New Roman" w:hAnsi="Times New Roman" w:cs="Times New Roman"/>
          <w:sz w:val="24"/>
          <w:lang w:val="bg-BG"/>
        </w:rPr>
        <w:t xml:space="preserve">хирургично лечение на фрактури на </w:t>
      </w:r>
      <w:r w:rsidR="00A83F95">
        <w:rPr>
          <w:rFonts w:ascii="Times New Roman" w:hAnsi="Times New Roman" w:cs="Times New Roman"/>
          <w:sz w:val="24"/>
          <w:lang w:val="bg-BG"/>
        </w:rPr>
        <w:t>проксималното бедро</w:t>
      </w:r>
      <w:r w:rsidRPr="00C001A4">
        <w:rPr>
          <w:rFonts w:ascii="Times New Roman" w:hAnsi="Times New Roman" w:cs="Times New Roman"/>
          <w:sz w:val="24"/>
          <w:lang w:val="bg-BG"/>
        </w:rPr>
        <w:t xml:space="preserve"> е безопасно при пациенти на антикоагуланти, стига да e</w:t>
      </w:r>
    </w:p>
    <w:p w:rsidR="00C001A4" w:rsidRPr="00C001A4" w:rsidRDefault="00C001A4" w:rsidP="00276280">
      <w:pPr>
        <w:spacing w:after="0" w:line="240" w:lineRule="auto"/>
        <w:rPr>
          <w:rFonts w:ascii="Times New Roman" w:hAnsi="Times New Roman" w:cs="Times New Roman"/>
          <w:sz w:val="24"/>
          <w:lang w:val="bg-BG"/>
        </w:rPr>
      </w:pPr>
      <w:r w:rsidRPr="00C001A4">
        <w:rPr>
          <w:rFonts w:ascii="Times New Roman" w:hAnsi="Times New Roman" w:cs="Times New Roman"/>
          <w:sz w:val="24"/>
          <w:lang w:val="bg-BG"/>
        </w:rPr>
        <w:t>направена подготовка за възможни интраоперативни</w:t>
      </w:r>
      <w:r w:rsidR="006C446C">
        <w:rPr>
          <w:rFonts w:ascii="Times New Roman" w:hAnsi="Times New Roman" w:cs="Times New Roman"/>
          <w:sz w:val="24"/>
          <w:lang w:val="bg-BG"/>
        </w:rPr>
        <w:t xml:space="preserve"> </w:t>
      </w:r>
      <w:r w:rsidRPr="00C001A4">
        <w:rPr>
          <w:rFonts w:ascii="Times New Roman" w:hAnsi="Times New Roman" w:cs="Times New Roman"/>
          <w:sz w:val="24"/>
          <w:lang w:val="bg-BG"/>
        </w:rPr>
        <w:t>трансфузии. Обратно, Gosch et al.</w:t>
      </w:r>
      <w:r w:rsidR="00A83F95" w:rsidRPr="00A83F95">
        <w:rPr>
          <w:rFonts w:ascii="Times New Roman" w:hAnsi="Times New Roman" w:cs="Times New Roman"/>
          <w:sz w:val="24"/>
          <w:vertAlign w:val="superscript"/>
          <w:lang w:val="bg-BG"/>
        </w:rPr>
        <w:t>119</w:t>
      </w:r>
      <w:r w:rsidRPr="00C001A4">
        <w:rPr>
          <w:rFonts w:ascii="Times New Roman" w:hAnsi="Times New Roman" w:cs="Times New Roman"/>
          <w:sz w:val="24"/>
          <w:lang w:val="bg-BG"/>
        </w:rPr>
        <w:t xml:space="preserve"> установяват, че</w:t>
      </w:r>
      <w:r w:rsidR="000A3916">
        <w:rPr>
          <w:rFonts w:ascii="Times New Roman" w:hAnsi="Times New Roman" w:cs="Times New Roman"/>
          <w:sz w:val="24"/>
          <w:lang w:val="bg-BG"/>
        </w:rPr>
        <w:t xml:space="preserve"> </w:t>
      </w:r>
      <w:r w:rsidRPr="00C001A4">
        <w:rPr>
          <w:rFonts w:ascii="Times New Roman" w:hAnsi="Times New Roman" w:cs="Times New Roman"/>
          <w:sz w:val="24"/>
          <w:lang w:val="bg-BG"/>
        </w:rPr>
        <w:t>пациентите с фрактура в областта на ТБС и прием на</w:t>
      </w:r>
    </w:p>
    <w:p w:rsidR="00C001A4" w:rsidRPr="00C001A4" w:rsidRDefault="00C001A4" w:rsidP="00276280">
      <w:pPr>
        <w:spacing w:after="0" w:line="240" w:lineRule="auto"/>
        <w:rPr>
          <w:rFonts w:ascii="Times New Roman" w:hAnsi="Times New Roman" w:cs="Times New Roman"/>
          <w:sz w:val="24"/>
          <w:lang w:val="bg-BG"/>
        </w:rPr>
      </w:pPr>
      <w:r w:rsidRPr="00C001A4">
        <w:rPr>
          <w:rFonts w:ascii="Times New Roman" w:hAnsi="Times New Roman" w:cs="Times New Roman"/>
          <w:sz w:val="24"/>
          <w:lang w:val="bg-BG"/>
        </w:rPr>
        <w:t>перорална антикоагулантна терапия се свързват с по-висока</w:t>
      </w:r>
      <w:r w:rsidR="000B0581">
        <w:rPr>
          <w:rFonts w:ascii="Times New Roman" w:hAnsi="Times New Roman" w:cs="Times New Roman"/>
          <w:sz w:val="24"/>
          <w:lang w:val="bg-BG"/>
        </w:rPr>
        <w:t xml:space="preserve"> </w:t>
      </w:r>
      <w:r w:rsidRPr="00C001A4">
        <w:rPr>
          <w:rFonts w:ascii="Times New Roman" w:hAnsi="Times New Roman" w:cs="Times New Roman"/>
          <w:sz w:val="24"/>
          <w:lang w:val="bg-BG"/>
        </w:rPr>
        <w:t>вътреболнична смъртност, кръвопреливане (изискващо 3 или</w:t>
      </w:r>
      <w:r w:rsidR="000B0581">
        <w:rPr>
          <w:rFonts w:ascii="Times New Roman" w:hAnsi="Times New Roman" w:cs="Times New Roman"/>
          <w:sz w:val="24"/>
          <w:lang w:val="bg-BG"/>
        </w:rPr>
        <w:t xml:space="preserve"> </w:t>
      </w:r>
      <w:r w:rsidRPr="00C001A4">
        <w:rPr>
          <w:rFonts w:ascii="Times New Roman" w:hAnsi="Times New Roman" w:cs="Times New Roman"/>
          <w:sz w:val="24"/>
          <w:lang w:val="bg-BG"/>
        </w:rPr>
        <w:t>повече сака кръв), сигнификантно кървене, спад на</w:t>
      </w:r>
    </w:p>
    <w:p w:rsidR="00C001A4" w:rsidRDefault="00C001A4" w:rsidP="00276280">
      <w:pPr>
        <w:spacing w:after="0" w:line="240" w:lineRule="auto"/>
        <w:rPr>
          <w:rFonts w:ascii="Times New Roman" w:hAnsi="Times New Roman" w:cs="Times New Roman"/>
          <w:sz w:val="24"/>
          <w:lang w:val="bg-BG"/>
        </w:rPr>
      </w:pPr>
      <w:r w:rsidRPr="00C001A4">
        <w:rPr>
          <w:rFonts w:ascii="Times New Roman" w:hAnsi="Times New Roman" w:cs="Times New Roman"/>
          <w:sz w:val="24"/>
          <w:lang w:val="bg-BG"/>
        </w:rPr>
        <w:t>хемоглобина от 6</w:t>
      </w:r>
      <w:r w:rsidR="00A83F95">
        <w:rPr>
          <w:rFonts w:ascii="Times New Roman" w:hAnsi="Times New Roman" w:cs="Times New Roman"/>
          <w:sz w:val="24"/>
          <w:lang w:val="bg-BG"/>
        </w:rPr>
        <w:t>0</w:t>
      </w:r>
      <w:r w:rsidRPr="00C001A4">
        <w:rPr>
          <w:rFonts w:ascii="Times New Roman" w:hAnsi="Times New Roman" w:cs="Times New Roman"/>
          <w:sz w:val="24"/>
          <w:lang w:val="bg-BG"/>
        </w:rPr>
        <w:t xml:space="preserve"> g/L или повече, миокарден инфаркт, инсулт</w:t>
      </w:r>
      <w:r w:rsidR="000A3916">
        <w:rPr>
          <w:rFonts w:ascii="Times New Roman" w:hAnsi="Times New Roman" w:cs="Times New Roman"/>
          <w:sz w:val="24"/>
          <w:lang w:val="bg-BG"/>
        </w:rPr>
        <w:t xml:space="preserve"> </w:t>
      </w:r>
      <w:r w:rsidRPr="00C001A4">
        <w:rPr>
          <w:rFonts w:ascii="Times New Roman" w:hAnsi="Times New Roman" w:cs="Times New Roman"/>
          <w:sz w:val="24"/>
          <w:lang w:val="bg-BG"/>
        </w:rPr>
        <w:t>и тромбоемболични инциденти, в сравнение с контролите,</w:t>
      </w:r>
      <w:r w:rsidR="000A3916">
        <w:rPr>
          <w:rFonts w:ascii="Times New Roman" w:hAnsi="Times New Roman" w:cs="Times New Roman"/>
          <w:sz w:val="24"/>
          <w:lang w:val="bg-BG"/>
        </w:rPr>
        <w:t xml:space="preserve"> </w:t>
      </w:r>
      <w:r w:rsidRPr="00C001A4">
        <w:rPr>
          <w:rFonts w:ascii="Times New Roman" w:hAnsi="Times New Roman" w:cs="Times New Roman"/>
          <w:sz w:val="24"/>
          <w:lang w:val="bg-BG"/>
        </w:rPr>
        <w:t>които не са били на антикоагулантна терапия.</w:t>
      </w:r>
    </w:p>
    <w:p w:rsidR="00A83F95" w:rsidRDefault="00A83F95"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ab/>
      </w:r>
      <w:r w:rsidRPr="00A83F95">
        <w:rPr>
          <w:rFonts w:ascii="Times New Roman" w:hAnsi="Times New Roman" w:cs="Times New Roman"/>
          <w:sz w:val="24"/>
          <w:lang w:val="bg-BG"/>
        </w:rPr>
        <w:t>Следните препоръки са кратки извадки от настоящите</w:t>
      </w:r>
      <w:r w:rsidR="00276280">
        <w:rPr>
          <w:rFonts w:ascii="Times New Roman" w:hAnsi="Times New Roman" w:cs="Times New Roman"/>
          <w:sz w:val="24"/>
          <w:lang w:val="bg-BG"/>
        </w:rPr>
        <w:t xml:space="preserve"> к</w:t>
      </w:r>
      <w:r>
        <w:rPr>
          <w:rFonts w:ascii="Times New Roman" w:hAnsi="Times New Roman" w:cs="Times New Roman"/>
          <w:sz w:val="24"/>
          <w:lang w:val="bg-BG"/>
        </w:rPr>
        <w:t xml:space="preserve">онсенсуси </w:t>
      </w:r>
      <w:r w:rsidRPr="00A83F95">
        <w:rPr>
          <w:rFonts w:ascii="Times New Roman" w:hAnsi="Times New Roman" w:cs="Times New Roman"/>
          <w:sz w:val="24"/>
          <w:lang w:val="bg-BG"/>
        </w:rPr>
        <w:t>и литература, които предоставят актуална</w:t>
      </w:r>
      <w:r w:rsidR="000A3916">
        <w:rPr>
          <w:rFonts w:ascii="Times New Roman" w:hAnsi="Times New Roman" w:cs="Times New Roman"/>
          <w:sz w:val="24"/>
          <w:lang w:val="bg-BG"/>
        </w:rPr>
        <w:t xml:space="preserve"> </w:t>
      </w:r>
      <w:r w:rsidRPr="00A83F95">
        <w:rPr>
          <w:rFonts w:ascii="Times New Roman" w:hAnsi="Times New Roman" w:cs="Times New Roman"/>
          <w:sz w:val="24"/>
          <w:lang w:val="bg-BG"/>
        </w:rPr>
        <w:t>информация за най-често срещаните антитромботични</w:t>
      </w:r>
      <w:r w:rsidR="000A3916">
        <w:rPr>
          <w:rFonts w:ascii="Times New Roman" w:hAnsi="Times New Roman" w:cs="Times New Roman"/>
          <w:sz w:val="24"/>
          <w:lang w:val="bg-BG"/>
        </w:rPr>
        <w:t xml:space="preserve"> </w:t>
      </w:r>
      <w:r w:rsidRPr="00A83F95">
        <w:rPr>
          <w:rFonts w:ascii="Times New Roman" w:hAnsi="Times New Roman" w:cs="Times New Roman"/>
          <w:sz w:val="24"/>
          <w:lang w:val="bg-BG"/>
        </w:rPr>
        <w:t>ривърс стратегии или коригиращи мерки. Тези стратегии</w:t>
      </w:r>
      <w:r w:rsidR="00276280">
        <w:rPr>
          <w:rFonts w:ascii="Times New Roman" w:hAnsi="Times New Roman" w:cs="Times New Roman"/>
          <w:sz w:val="24"/>
          <w:lang w:val="bg-BG"/>
        </w:rPr>
        <w:t xml:space="preserve"> </w:t>
      </w:r>
      <w:r w:rsidRPr="00A83F95">
        <w:rPr>
          <w:rFonts w:ascii="Times New Roman" w:hAnsi="Times New Roman" w:cs="Times New Roman"/>
          <w:sz w:val="24"/>
          <w:lang w:val="bg-BG"/>
        </w:rPr>
        <w:t>трябва да се провеждат в сътрудничество с кардиолог,</w:t>
      </w:r>
      <w:r w:rsidR="000B0581">
        <w:rPr>
          <w:rFonts w:ascii="Times New Roman" w:hAnsi="Times New Roman" w:cs="Times New Roman"/>
          <w:sz w:val="24"/>
          <w:lang w:val="bg-BG"/>
        </w:rPr>
        <w:t xml:space="preserve"> </w:t>
      </w:r>
      <w:r w:rsidRPr="00A83F95">
        <w:rPr>
          <w:rFonts w:ascii="Times New Roman" w:hAnsi="Times New Roman" w:cs="Times New Roman"/>
          <w:sz w:val="24"/>
          <w:lang w:val="bg-BG"/>
        </w:rPr>
        <w:t>анестезиолог и други специалисти.</w:t>
      </w:r>
    </w:p>
    <w:p w:rsidR="00276280" w:rsidRPr="00A83F95" w:rsidRDefault="00276280" w:rsidP="00276280">
      <w:pPr>
        <w:spacing w:after="0" w:line="240" w:lineRule="auto"/>
        <w:rPr>
          <w:rFonts w:ascii="Times New Roman" w:hAnsi="Times New Roman" w:cs="Times New Roman"/>
          <w:sz w:val="24"/>
          <w:lang w:val="bg-BG"/>
        </w:rPr>
      </w:pPr>
    </w:p>
    <w:p w:rsidR="00A83F95" w:rsidRPr="00A83F95" w:rsidRDefault="00A83F95" w:rsidP="00276280">
      <w:pPr>
        <w:spacing w:after="0" w:line="240" w:lineRule="auto"/>
        <w:ind w:firstLine="720"/>
        <w:rPr>
          <w:rFonts w:ascii="Times New Roman" w:hAnsi="Times New Roman" w:cs="Times New Roman"/>
          <w:sz w:val="24"/>
          <w:lang w:val="bg-BG"/>
        </w:rPr>
      </w:pPr>
      <w:r w:rsidRPr="00F07E4A">
        <w:rPr>
          <w:rFonts w:ascii="Times New Roman" w:hAnsi="Times New Roman" w:cs="Times New Roman"/>
          <w:i/>
          <w:sz w:val="24"/>
          <w:lang w:val="bg-BG"/>
        </w:rPr>
        <w:t>Антагонисти на витамин К:</w:t>
      </w:r>
      <w:r w:rsidRPr="00A83F95">
        <w:rPr>
          <w:rFonts w:ascii="Times New Roman" w:hAnsi="Times New Roman" w:cs="Times New Roman"/>
          <w:sz w:val="24"/>
          <w:lang w:val="bg-BG"/>
        </w:rPr>
        <w:t xml:space="preserve"> Все още тече дебат относно периоперативната</w:t>
      </w:r>
      <w:r w:rsidR="003F7BFE">
        <w:rPr>
          <w:rFonts w:ascii="Times New Roman" w:hAnsi="Times New Roman" w:cs="Times New Roman"/>
          <w:sz w:val="24"/>
          <w:lang w:val="bg-BG"/>
        </w:rPr>
        <w:t xml:space="preserve"> </w:t>
      </w:r>
      <w:r w:rsidRPr="00A83F95">
        <w:rPr>
          <w:rFonts w:ascii="Times New Roman" w:hAnsi="Times New Roman" w:cs="Times New Roman"/>
          <w:sz w:val="24"/>
          <w:lang w:val="bg-BG"/>
        </w:rPr>
        <w:t>подготовка на пациенти</w:t>
      </w:r>
      <w:r w:rsidR="00CA71E2">
        <w:rPr>
          <w:rFonts w:ascii="Times New Roman" w:hAnsi="Times New Roman" w:cs="Times New Roman"/>
          <w:sz w:val="24"/>
          <w:lang w:val="bg-BG"/>
        </w:rPr>
        <w:t>,</w:t>
      </w:r>
      <w:r w:rsidRPr="00A83F95">
        <w:rPr>
          <w:rFonts w:ascii="Times New Roman" w:hAnsi="Times New Roman" w:cs="Times New Roman"/>
          <w:sz w:val="24"/>
          <w:lang w:val="bg-BG"/>
        </w:rPr>
        <w:t xml:space="preserve"> приемащи </w:t>
      </w:r>
      <w:r>
        <w:rPr>
          <w:rFonts w:ascii="Times New Roman" w:hAnsi="Times New Roman" w:cs="Times New Roman"/>
          <w:sz w:val="24"/>
          <w:lang w:val="bg-BG"/>
        </w:rPr>
        <w:t>антагонисти на витамин К</w:t>
      </w:r>
      <w:r w:rsidRPr="00A83F95">
        <w:rPr>
          <w:rFonts w:ascii="Times New Roman" w:hAnsi="Times New Roman" w:cs="Times New Roman"/>
          <w:sz w:val="24"/>
          <w:lang w:val="bg-BG"/>
        </w:rPr>
        <w:t>. Някои автори</w:t>
      </w:r>
      <w:r w:rsidR="0064027B">
        <w:rPr>
          <w:rFonts w:ascii="Times New Roman" w:hAnsi="Times New Roman" w:cs="Times New Roman"/>
          <w:sz w:val="24"/>
          <w:lang w:val="bg-BG"/>
        </w:rPr>
        <w:t xml:space="preserve"> </w:t>
      </w:r>
      <w:r w:rsidRPr="00A83F95">
        <w:rPr>
          <w:rFonts w:ascii="Times New Roman" w:hAnsi="Times New Roman" w:cs="Times New Roman"/>
          <w:sz w:val="24"/>
          <w:lang w:val="bg-BG"/>
        </w:rPr>
        <w:t>препоръчват наблюдение и изчакване, докато други препоръчват</w:t>
      </w:r>
      <w:r>
        <w:rPr>
          <w:rFonts w:ascii="Times New Roman" w:hAnsi="Times New Roman" w:cs="Times New Roman"/>
          <w:sz w:val="24"/>
          <w:lang w:val="bg-BG"/>
        </w:rPr>
        <w:t xml:space="preserve"> приложение на антидот</w:t>
      </w:r>
      <w:r w:rsidRPr="00A83F95">
        <w:rPr>
          <w:rFonts w:ascii="Times New Roman" w:hAnsi="Times New Roman" w:cs="Times New Roman"/>
          <w:sz w:val="24"/>
          <w:lang w:val="bg-BG"/>
        </w:rPr>
        <w:t>. Известно е, че фрактурните</w:t>
      </w:r>
      <w:r w:rsidR="005C27D4">
        <w:rPr>
          <w:rFonts w:ascii="Times New Roman" w:hAnsi="Times New Roman" w:cs="Times New Roman"/>
          <w:sz w:val="24"/>
          <w:lang w:val="bg-BG"/>
        </w:rPr>
        <w:t xml:space="preserve"> </w:t>
      </w:r>
      <w:r w:rsidRPr="00A83F95">
        <w:rPr>
          <w:rFonts w:ascii="Times New Roman" w:hAnsi="Times New Roman" w:cs="Times New Roman"/>
          <w:sz w:val="24"/>
          <w:lang w:val="bg-BG"/>
        </w:rPr>
        <w:t>операции могат да не бъдат отлагани чрез антагонизиране на</w:t>
      </w:r>
      <w:r w:rsidR="005C27D4">
        <w:rPr>
          <w:rFonts w:ascii="Times New Roman" w:hAnsi="Times New Roman" w:cs="Times New Roman"/>
          <w:sz w:val="24"/>
          <w:lang w:val="bg-BG"/>
        </w:rPr>
        <w:t xml:space="preserve"> </w:t>
      </w:r>
      <w:r w:rsidRPr="00A83F95">
        <w:rPr>
          <w:rFonts w:ascii="Times New Roman" w:hAnsi="Times New Roman" w:cs="Times New Roman"/>
          <w:sz w:val="24"/>
          <w:lang w:val="bg-BG"/>
        </w:rPr>
        <w:t xml:space="preserve">антикоагулантния ефект с </w:t>
      </w:r>
      <w:r>
        <w:rPr>
          <w:rFonts w:ascii="Times New Roman" w:hAnsi="Times New Roman" w:cs="Times New Roman"/>
          <w:sz w:val="24"/>
          <w:lang w:val="bg-BG"/>
        </w:rPr>
        <w:t xml:space="preserve">приложение на </w:t>
      </w:r>
      <w:r w:rsidRPr="00A83F95">
        <w:rPr>
          <w:rFonts w:ascii="Times New Roman" w:hAnsi="Times New Roman" w:cs="Times New Roman"/>
          <w:sz w:val="24"/>
          <w:lang w:val="bg-BG"/>
        </w:rPr>
        <w:t>витамин K</w:t>
      </w:r>
      <w:r w:rsidRPr="00A83F95">
        <w:rPr>
          <w:rFonts w:ascii="Times New Roman" w:hAnsi="Times New Roman" w:cs="Times New Roman"/>
          <w:sz w:val="24"/>
          <w:vertAlign w:val="superscript"/>
          <w:lang w:val="bg-BG"/>
        </w:rPr>
        <w:t>120, 121</w:t>
      </w:r>
      <w:r w:rsidRPr="00A83F95">
        <w:rPr>
          <w:rFonts w:ascii="Times New Roman" w:hAnsi="Times New Roman" w:cs="Times New Roman"/>
          <w:sz w:val="24"/>
          <w:lang w:val="bg-BG"/>
        </w:rPr>
        <w:t xml:space="preserve">. </w:t>
      </w:r>
      <w:r w:rsidRPr="005C27D4">
        <w:rPr>
          <w:rFonts w:ascii="Times New Roman" w:hAnsi="Times New Roman" w:cs="Times New Roman"/>
          <w:b/>
          <w:i/>
          <w:sz w:val="24"/>
          <w:lang w:val="bg-BG"/>
        </w:rPr>
        <w:t xml:space="preserve">Препоръките на NICE </w:t>
      </w:r>
      <w:r w:rsidR="00F07E4A" w:rsidRPr="005C27D4">
        <w:rPr>
          <w:rFonts w:ascii="Times New Roman" w:hAnsi="Times New Roman" w:cs="Times New Roman"/>
          <w:b/>
          <w:i/>
          <w:sz w:val="24"/>
          <w:lang w:val="bg-BG"/>
        </w:rPr>
        <w:t xml:space="preserve">акцентират върху неотложността на </w:t>
      </w:r>
      <w:r w:rsidRPr="005C27D4">
        <w:rPr>
          <w:rFonts w:ascii="Times New Roman" w:hAnsi="Times New Roman" w:cs="Times New Roman"/>
          <w:b/>
          <w:i/>
          <w:sz w:val="24"/>
          <w:lang w:val="bg-BG"/>
        </w:rPr>
        <w:t>хирургично</w:t>
      </w:r>
      <w:r w:rsidR="00F07E4A" w:rsidRPr="005C27D4">
        <w:rPr>
          <w:rFonts w:ascii="Times New Roman" w:hAnsi="Times New Roman" w:cs="Times New Roman"/>
          <w:b/>
          <w:i/>
          <w:sz w:val="24"/>
          <w:lang w:val="bg-BG"/>
        </w:rPr>
        <w:t>то</w:t>
      </w:r>
      <w:r w:rsidRPr="005C27D4">
        <w:rPr>
          <w:rFonts w:ascii="Times New Roman" w:hAnsi="Times New Roman" w:cs="Times New Roman"/>
          <w:b/>
          <w:i/>
          <w:sz w:val="24"/>
          <w:lang w:val="bg-BG"/>
        </w:rPr>
        <w:t xml:space="preserve"> лечение на пациенти</w:t>
      </w:r>
      <w:r w:rsidR="00F07E4A" w:rsidRPr="005C27D4">
        <w:rPr>
          <w:rFonts w:ascii="Times New Roman" w:hAnsi="Times New Roman" w:cs="Times New Roman"/>
          <w:b/>
          <w:i/>
          <w:sz w:val="24"/>
          <w:lang w:val="bg-BG"/>
        </w:rPr>
        <w:t>те</w:t>
      </w:r>
      <w:r w:rsidRPr="005C27D4">
        <w:rPr>
          <w:rFonts w:ascii="Times New Roman" w:hAnsi="Times New Roman" w:cs="Times New Roman"/>
          <w:b/>
          <w:i/>
          <w:sz w:val="24"/>
          <w:lang w:val="bg-BG"/>
        </w:rPr>
        <w:t xml:space="preserve"> в напреднала</w:t>
      </w:r>
      <w:r w:rsidR="005C27D4" w:rsidRPr="005C27D4">
        <w:rPr>
          <w:rFonts w:ascii="Times New Roman" w:hAnsi="Times New Roman" w:cs="Times New Roman"/>
          <w:b/>
          <w:i/>
          <w:sz w:val="24"/>
          <w:lang w:val="bg-BG"/>
        </w:rPr>
        <w:t xml:space="preserve"> </w:t>
      </w:r>
      <w:r w:rsidRPr="005C27D4">
        <w:rPr>
          <w:rFonts w:ascii="Times New Roman" w:hAnsi="Times New Roman" w:cs="Times New Roman"/>
          <w:b/>
          <w:i/>
          <w:sz w:val="24"/>
          <w:lang w:val="bg-BG"/>
        </w:rPr>
        <w:t xml:space="preserve">възраст с фрактури </w:t>
      </w:r>
      <w:r w:rsidR="00F07E4A" w:rsidRPr="005C27D4">
        <w:rPr>
          <w:rFonts w:ascii="Times New Roman" w:hAnsi="Times New Roman" w:cs="Times New Roman"/>
          <w:b/>
          <w:i/>
          <w:sz w:val="24"/>
          <w:lang w:val="bg-BG"/>
        </w:rPr>
        <w:t xml:space="preserve">на проксималното бедро </w:t>
      </w:r>
      <w:r w:rsidRPr="005C27D4">
        <w:rPr>
          <w:rFonts w:ascii="Times New Roman" w:hAnsi="Times New Roman" w:cs="Times New Roman"/>
          <w:b/>
          <w:i/>
          <w:sz w:val="24"/>
          <w:lang w:val="bg-BG"/>
        </w:rPr>
        <w:t>в рамките на първите 36</w:t>
      </w:r>
      <w:r w:rsidR="00CA71E2">
        <w:rPr>
          <w:rFonts w:ascii="Times New Roman" w:hAnsi="Times New Roman" w:cs="Times New Roman"/>
          <w:b/>
          <w:i/>
          <w:sz w:val="24"/>
          <w:lang w:val="bg-BG"/>
        </w:rPr>
        <w:t xml:space="preserve"> </w:t>
      </w:r>
      <w:r w:rsidRPr="005C27D4">
        <w:rPr>
          <w:rFonts w:ascii="Times New Roman" w:hAnsi="Times New Roman" w:cs="Times New Roman"/>
          <w:b/>
          <w:i/>
          <w:sz w:val="24"/>
          <w:lang w:val="bg-BG"/>
        </w:rPr>
        <w:t xml:space="preserve">часа, </w:t>
      </w:r>
      <w:r w:rsidR="00F07E4A" w:rsidRPr="005C27D4">
        <w:rPr>
          <w:rFonts w:ascii="Times New Roman" w:hAnsi="Times New Roman" w:cs="Times New Roman"/>
          <w:b/>
          <w:i/>
          <w:sz w:val="24"/>
          <w:lang w:val="bg-BG"/>
        </w:rPr>
        <w:t>подчертавайки</w:t>
      </w:r>
      <w:r w:rsidRPr="005C27D4">
        <w:rPr>
          <w:rFonts w:ascii="Times New Roman" w:hAnsi="Times New Roman" w:cs="Times New Roman"/>
          <w:b/>
          <w:i/>
          <w:sz w:val="24"/>
          <w:lang w:val="bg-BG"/>
        </w:rPr>
        <w:t>, че забавянията, свързани с</w:t>
      </w:r>
      <w:r w:rsidR="002D57E0">
        <w:rPr>
          <w:rFonts w:ascii="Times New Roman" w:hAnsi="Times New Roman" w:cs="Times New Roman"/>
          <w:b/>
          <w:i/>
          <w:sz w:val="24"/>
          <w:lang w:val="bg-BG"/>
        </w:rPr>
        <w:t xml:space="preserve"> </w:t>
      </w:r>
      <w:r w:rsidR="00F07E4A" w:rsidRPr="005C27D4">
        <w:rPr>
          <w:rFonts w:ascii="Times New Roman" w:hAnsi="Times New Roman" w:cs="Times New Roman"/>
          <w:b/>
          <w:i/>
          <w:sz w:val="24"/>
          <w:lang w:val="bg-BG"/>
        </w:rPr>
        <w:t xml:space="preserve">антикоагулантната терапия </w:t>
      </w:r>
      <w:r w:rsidRPr="005C27D4">
        <w:rPr>
          <w:rFonts w:ascii="Times New Roman" w:hAnsi="Times New Roman" w:cs="Times New Roman"/>
          <w:b/>
          <w:i/>
          <w:sz w:val="24"/>
          <w:lang w:val="bg-BG"/>
        </w:rPr>
        <w:t>често са неоправдани</w:t>
      </w:r>
      <w:r w:rsidRPr="005C27D4">
        <w:rPr>
          <w:rFonts w:ascii="Times New Roman" w:hAnsi="Times New Roman" w:cs="Times New Roman"/>
          <w:b/>
          <w:i/>
          <w:sz w:val="24"/>
          <w:vertAlign w:val="superscript"/>
          <w:lang w:val="bg-BG"/>
        </w:rPr>
        <w:t>12</w:t>
      </w:r>
      <w:r w:rsidRPr="00A83F95">
        <w:rPr>
          <w:rFonts w:ascii="Times New Roman" w:hAnsi="Times New Roman" w:cs="Times New Roman"/>
          <w:sz w:val="24"/>
          <w:vertAlign w:val="superscript"/>
          <w:lang w:val="bg-BG"/>
        </w:rPr>
        <w:t>2</w:t>
      </w:r>
      <w:r w:rsidRPr="00A83F95">
        <w:rPr>
          <w:rFonts w:ascii="Times New Roman" w:hAnsi="Times New Roman" w:cs="Times New Roman"/>
          <w:sz w:val="24"/>
          <w:lang w:val="bg-BG"/>
        </w:rPr>
        <w:t>.</w:t>
      </w:r>
      <w:r w:rsidR="00CA71E2">
        <w:rPr>
          <w:rFonts w:ascii="Times New Roman" w:hAnsi="Times New Roman" w:cs="Times New Roman"/>
          <w:sz w:val="24"/>
          <w:lang w:val="bg-BG"/>
        </w:rPr>
        <w:t xml:space="preserve"> </w:t>
      </w:r>
      <w:r w:rsidRPr="00A83F95">
        <w:rPr>
          <w:rFonts w:ascii="Times New Roman" w:hAnsi="Times New Roman" w:cs="Times New Roman"/>
          <w:sz w:val="24"/>
          <w:lang w:val="bg-BG"/>
        </w:rPr>
        <w:t>Gulatiet al.</w:t>
      </w:r>
      <w:r w:rsidR="00F07E4A" w:rsidRPr="00F07E4A">
        <w:rPr>
          <w:rFonts w:ascii="Times New Roman" w:hAnsi="Times New Roman" w:cs="Times New Roman"/>
          <w:sz w:val="24"/>
          <w:vertAlign w:val="superscript"/>
          <w:lang w:val="bg-BG"/>
        </w:rPr>
        <w:t>123</w:t>
      </w:r>
      <w:r w:rsidRPr="00A83F95">
        <w:rPr>
          <w:rFonts w:ascii="Times New Roman" w:hAnsi="Times New Roman" w:cs="Times New Roman"/>
          <w:sz w:val="24"/>
          <w:lang w:val="bg-BG"/>
        </w:rPr>
        <w:t xml:space="preserve"> и</w:t>
      </w:r>
      <w:r w:rsidR="002D57E0">
        <w:rPr>
          <w:rFonts w:ascii="Times New Roman" w:hAnsi="Times New Roman" w:cs="Times New Roman"/>
          <w:sz w:val="24"/>
          <w:lang w:val="bg-BG"/>
        </w:rPr>
        <w:t xml:space="preserve"> </w:t>
      </w:r>
      <w:r w:rsidRPr="00A83F95">
        <w:rPr>
          <w:rFonts w:ascii="Times New Roman" w:hAnsi="Times New Roman" w:cs="Times New Roman"/>
          <w:sz w:val="24"/>
          <w:lang w:val="bg-BG"/>
        </w:rPr>
        <w:t>Moores et al.</w:t>
      </w:r>
      <w:r w:rsidR="00F07E4A" w:rsidRPr="00F07E4A">
        <w:rPr>
          <w:rFonts w:ascii="Times New Roman" w:hAnsi="Times New Roman" w:cs="Times New Roman"/>
          <w:sz w:val="24"/>
          <w:vertAlign w:val="superscript"/>
          <w:lang w:val="bg-BG"/>
        </w:rPr>
        <w:t>124</w:t>
      </w:r>
      <w:r w:rsidR="00CA71E2">
        <w:rPr>
          <w:rFonts w:ascii="Times New Roman" w:hAnsi="Times New Roman" w:cs="Times New Roman"/>
          <w:sz w:val="24"/>
          <w:vertAlign w:val="superscript"/>
          <w:lang w:val="bg-BG"/>
        </w:rPr>
        <w:t xml:space="preserve"> </w:t>
      </w:r>
      <w:r w:rsidR="00F07E4A">
        <w:rPr>
          <w:rFonts w:ascii="Times New Roman" w:hAnsi="Times New Roman" w:cs="Times New Roman"/>
          <w:sz w:val="24"/>
          <w:lang w:val="bg-BG"/>
        </w:rPr>
        <w:t>препоръчват да се прилага антагонист -</w:t>
      </w:r>
      <w:r w:rsidR="005C27D4">
        <w:rPr>
          <w:rFonts w:ascii="Times New Roman" w:hAnsi="Times New Roman" w:cs="Times New Roman"/>
          <w:sz w:val="24"/>
          <w:lang w:val="bg-BG"/>
        </w:rPr>
        <w:t xml:space="preserve"> </w:t>
      </w:r>
      <w:r w:rsidRPr="00A83F95">
        <w:rPr>
          <w:rFonts w:ascii="Times New Roman" w:hAnsi="Times New Roman" w:cs="Times New Roman"/>
          <w:sz w:val="24"/>
          <w:lang w:val="bg-BG"/>
        </w:rPr>
        <w:t>витамин К, концентрат на протромбинов комплекс (</w:t>
      </w:r>
      <w:r w:rsidR="00F07E4A">
        <w:rPr>
          <w:rFonts w:ascii="Times New Roman" w:hAnsi="Times New Roman" w:cs="Times New Roman"/>
          <w:sz w:val="24"/>
          <w:lang w:val="bg-BG"/>
        </w:rPr>
        <w:t>Протромплекс</w:t>
      </w:r>
      <w:r w:rsidRPr="00A83F95">
        <w:rPr>
          <w:rFonts w:ascii="Times New Roman" w:hAnsi="Times New Roman" w:cs="Times New Roman"/>
          <w:sz w:val="24"/>
          <w:lang w:val="bg-BG"/>
        </w:rPr>
        <w:t>), прясно замразена плазма (FFP) или рекомбинантен</w:t>
      </w:r>
      <w:r w:rsidR="00CA71E2">
        <w:rPr>
          <w:rFonts w:ascii="Times New Roman" w:hAnsi="Times New Roman" w:cs="Times New Roman"/>
          <w:sz w:val="24"/>
          <w:lang w:val="bg-BG"/>
        </w:rPr>
        <w:t xml:space="preserve"> </w:t>
      </w:r>
      <w:r w:rsidRPr="00A83F95">
        <w:rPr>
          <w:rFonts w:ascii="Times New Roman" w:hAnsi="Times New Roman" w:cs="Times New Roman"/>
          <w:sz w:val="24"/>
          <w:lang w:val="bg-BG"/>
        </w:rPr>
        <w:t>фактор VIIa.</w:t>
      </w:r>
    </w:p>
    <w:p w:rsidR="00A83F95" w:rsidRDefault="00F07E4A" w:rsidP="00276280">
      <w:pPr>
        <w:spacing w:after="0" w:line="240" w:lineRule="auto"/>
        <w:ind w:firstLine="720"/>
        <w:rPr>
          <w:rFonts w:ascii="Times New Roman" w:hAnsi="Times New Roman" w:cs="Times New Roman"/>
          <w:sz w:val="24"/>
          <w:lang w:val="bg-BG"/>
        </w:rPr>
      </w:pPr>
      <w:r>
        <w:rPr>
          <w:rFonts w:ascii="Times New Roman" w:hAnsi="Times New Roman" w:cs="Times New Roman"/>
          <w:sz w:val="24"/>
          <w:lang w:val="bg-BG"/>
        </w:rPr>
        <w:t xml:space="preserve">При възприемане на изчаквателно поведение, </w:t>
      </w:r>
      <w:r w:rsidR="00A83F95" w:rsidRPr="00A83F95">
        <w:rPr>
          <w:rFonts w:ascii="Times New Roman" w:hAnsi="Times New Roman" w:cs="Times New Roman"/>
          <w:sz w:val="24"/>
          <w:lang w:val="bg-BG"/>
        </w:rPr>
        <w:t>Американския</w:t>
      </w:r>
      <w:r>
        <w:rPr>
          <w:rFonts w:ascii="Times New Roman" w:hAnsi="Times New Roman" w:cs="Times New Roman"/>
          <w:sz w:val="24"/>
          <w:lang w:val="bg-BG"/>
        </w:rPr>
        <w:t>т</w:t>
      </w:r>
      <w:r w:rsidR="00A83F95" w:rsidRPr="00A83F95">
        <w:rPr>
          <w:rFonts w:ascii="Times New Roman" w:hAnsi="Times New Roman" w:cs="Times New Roman"/>
          <w:sz w:val="24"/>
          <w:lang w:val="bg-BG"/>
        </w:rPr>
        <w:t xml:space="preserve"> колеж по кардиология</w:t>
      </w:r>
      <w:r w:rsidR="006253ED">
        <w:rPr>
          <w:rFonts w:ascii="Times New Roman" w:hAnsi="Times New Roman" w:cs="Times New Roman"/>
          <w:sz w:val="24"/>
          <w:lang w:val="en-US"/>
        </w:rPr>
        <w:t xml:space="preserve"> </w:t>
      </w:r>
      <w:r w:rsidR="00A83F95" w:rsidRPr="00A83F95">
        <w:rPr>
          <w:rFonts w:ascii="Times New Roman" w:hAnsi="Times New Roman" w:cs="Times New Roman"/>
          <w:sz w:val="24"/>
          <w:lang w:val="bg-BG"/>
        </w:rPr>
        <w:t xml:space="preserve">(ACC) препоръчва </w:t>
      </w:r>
      <w:r>
        <w:rPr>
          <w:rFonts w:ascii="Times New Roman" w:hAnsi="Times New Roman" w:cs="Times New Roman"/>
          <w:sz w:val="24"/>
          <w:lang w:val="bg-BG"/>
        </w:rPr>
        <w:t xml:space="preserve">проследяване на </w:t>
      </w:r>
      <w:r w:rsidR="00A83F95" w:rsidRPr="00A83F95">
        <w:rPr>
          <w:rFonts w:ascii="Times New Roman" w:hAnsi="Times New Roman" w:cs="Times New Roman"/>
          <w:sz w:val="24"/>
          <w:lang w:val="bg-BG"/>
        </w:rPr>
        <w:t>INR 5 до 7 дни</w:t>
      </w:r>
      <w:r w:rsidR="005C27D4">
        <w:rPr>
          <w:rFonts w:ascii="Times New Roman" w:hAnsi="Times New Roman" w:cs="Times New Roman"/>
          <w:sz w:val="24"/>
          <w:lang w:val="bg-BG"/>
        </w:rPr>
        <w:t xml:space="preserve"> </w:t>
      </w:r>
      <w:r w:rsidR="00A83F95" w:rsidRPr="00A83F95">
        <w:rPr>
          <w:rFonts w:ascii="Times New Roman" w:hAnsi="Times New Roman" w:cs="Times New Roman"/>
          <w:sz w:val="24"/>
          <w:lang w:val="bg-BG"/>
        </w:rPr>
        <w:t>преди операцията</w:t>
      </w:r>
      <w:r>
        <w:rPr>
          <w:rFonts w:ascii="Times New Roman" w:hAnsi="Times New Roman" w:cs="Times New Roman"/>
          <w:sz w:val="24"/>
          <w:lang w:val="bg-BG"/>
        </w:rPr>
        <w:t xml:space="preserve">, както и </w:t>
      </w:r>
      <w:r w:rsidR="00A83F95" w:rsidRPr="00A83F95">
        <w:rPr>
          <w:rFonts w:ascii="Times New Roman" w:hAnsi="Times New Roman" w:cs="Times New Roman"/>
          <w:sz w:val="24"/>
          <w:lang w:val="bg-BG"/>
        </w:rPr>
        <w:t>в рамките на 24 часа след операцията</w:t>
      </w:r>
      <w:r>
        <w:rPr>
          <w:rFonts w:ascii="Times New Roman" w:hAnsi="Times New Roman" w:cs="Times New Roman"/>
          <w:sz w:val="24"/>
          <w:lang w:val="bg-BG"/>
        </w:rPr>
        <w:t xml:space="preserve">. </w:t>
      </w:r>
      <w:r w:rsidR="00097F1C">
        <w:rPr>
          <w:rFonts w:ascii="Times New Roman" w:hAnsi="Times New Roman" w:cs="Times New Roman"/>
          <w:sz w:val="24"/>
          <w:lang w:val="bg-BG"/>
        </w:rPr>
        <w:t>Примостяващо</w:t>
      </w:r>
      <w:r>
        <w:rPr>
          <w:rFonts w:ascii="Times New Roman" w:hAnsi="Times New Roman" w:cs="Times New Roman"/>
          <w:sz w:val="24"/>
          <w:lang w:val="bg-BG"/>
        </w:rPr>
        <w:t xml:space="preserve"> антикоагулантно лечение</w:t>
      </w:r>
      <w:r w:rsidR="00A83F95" w:rsidRPr="00A83F95">
        <w:rPr>
          <w:rFonts w:ascii="Times New Roman" w:hAnsi="Times New Roman" w:cs="Times New Roman"/>
          <w:sz w:val="24"/>
          <w:lang w:val="bg-BG"/>
        </w:rPr>
        <w:t>, обикновено с</w:t>
      </w:r>
      <w:r w:rsidR="005C27D4">
        <w:rPr>
          <w:rFonts w:ascii="Times New Roman" w:hAnsi="Times New Roman" w:cs="Times New Roman"/>
          <w:sz w:val="24"/>
          <w:lang w:val="bg-BG"/>
        </w:rPr>
        <w:t xml:space="preserve"> </w:t>
      </w:r>
      <w:r w:rsidR="00A83F95" w:rsidRPr="00A83F95">
        <w:rPr>
          <w:rFonts w:ascii="Times New Roman" w:hAnsi="Times New Roman" w:cs="Times New Roman"/>
          <w:sz w:val="24"/>
          <w:lang w:val="bg-BG"/>
        </w:rPr>
        <w:t>нискомолекул</w:t>
      </w:r>
      <w:r>
        <w:rPr>
          <w:rFonts w:ascii="Times New Roman" w:hAnsi="Times New Roman" w:cs="Times New Roman"/>
          <w:sz w:val="24"/>
          <w:lang w:val="bg-BG"/>
        </w:rPr>
        <w:t>ен</w:t>
      </w:r>
      <w:r w:rsidR="00A83F95" w:rsidRPr="00A83F95">
        <w:rPr>
          <w:rFonts w:ascii="Times New Roman" w:hAnsi="Times New Roman" w:cs="Times New Roman"/>
          <w:sz w:val="24"/>
          <w:lang w:val="bg-BG"/>
        </w:rPr>
        <w:t xml:space="preserve"> хепарин, се предприема при</w:t>
      </w:r>
      <w:r w:rsidR="00370F66">
        <w:rPr>
          <w:rFonts w:ascii="Times New Roman" w:hAnsi="Times New Roman" w:cs="Times New Roman"/>
          <w:sz w:val="24"/>
          <w:lang w:val="bg-BG"/>
        </w:rPr>
        <w:t xml:space="preserve"> </w:t>
      </w:r>
      <w:r w:rsidR="00A83F95" w:rsidRPr="00A83F95">
        <w:rPr>
          <w:rFonts w:ascii="Times New Roman" w:hAnsi="Times New Roman" w:cs="Times New Roman"/>
          <w:sz w:val="24"/>
          <w:lang w:val="bg-BG"/>
        </w:rPr>
        <w:t xml:space="preserve">пациенти с висок тромботичен риск, </w:t>
      </w:r>
      <w:r>
        <w:rPr>
          <w:rFonts w:ascii="Times New Roman" w:hAnsi="Times New Roman" w:cs="Times New Roman"/>
          <w:sz w:val="24"/>
          <w:lang w:val="bg-BG"/>
        </w:rPr>
        <w:t xml:space="preserve">(такива със </w:t>
      </w:r>
      <w:r w:rsidR="00A83F95" w:rsidRPr="00A83F95">
        <w:rPr>
          <w:rFonts w:ascii="Times New Roman" w:hAnsi="Times New Roman" w:cs="Times New Roman"/>
          <w:sz w:val="24"/>
          <w:lang w:val="bg-BG"/>
        </w:rPr>
        <w:t>застойна сърдечна недостатъчност, хипертония, възраст ≥ 75</w:t>
      </w:r>
      <w:r w:rsidR="006253ED">
        <w:rPr>
          <w:rFonts w:ascii="Times New Roman" w:hAnsi="Times New Roman" w:cs="Times New Roman"/>
          <w:sz w:val="24"/>
          <w:lang w:val="en-US"/>
        </w:rPr>
        <w:t xml:space="preserve"> </w:t>
      </w:r>
      <w:r w:rsidR="00A83F95" w:rsidRPr="00A83F95">
        <w:rPr>
          <w:rFonts w:ascii="Times New Roman" w:hAnsi="Times New Roman" w:cs="Times New Roman"/>
          <w:sz w:val="24"/>
          <w:lang w:val="bg-BG"/>
        </w:rPr>
        <w:t xml:space="preserve">години, захарен диабет, </w:t>
      </w:r>
      <w:r>
        <w:rPr>
          <w:rFonts w:ascii="Times New Roman" w:hAnsi="Times New Roman" w:cs="Times New Roman"/>
          <w:sz w:val="24"/>
          <w:lang w:val="bg-BG"/>
        </w:rPr>
        <w:t xml:space="preserve">предшестващ </w:t>
      </w:r>
      <w:r w:rsidR="00A83F95" w:rsidRPr="00A83F95">
        <w:rPr>
          <w:rFonts w:ascii="Times New Roman" w:hAnsi="Times New Roman" w:cs="Times New Roman"/>
          <w:sz w:val="24"/>
          <w:lang w:val="bg-BG"/>
        </w:rPr>
        <w:t>инсулт или пациенти с тромботично събитие в</w:t>
      </w:r>
      <w:r>
        <w:rPr>
          <w:rFonts w:ascii="Times New Roman" w:hAnsi="Times New Roman" w:cs="Times New Roman"/>
          <w:sz w:val="24"/>
          <w:lang w:val="bg-BG"/>
        </w:rPr>
        <w:t xml:space="preserve"> миналите 3 месеца</w:t>
      </w:r>
      <w:r w:rsidRPr="00F07E4A">
        <w:rPr>
          <w:rFonts w:ascii="Times New Roman" w:hAnsi="Times New Roman" w:cs="Times New Roman"/>
          <w:sz w:val="24"/>
          <w:vertAlign w:val="superscript"/>
          <w:lang w:val="bg-BG"/>
        </w:rPr>
        <w:t>125</w:t>
      </w:r>
      <w:r w:rsidR="006253ED">
        <w:rPr>
          <w:rFonts w:ascii="Times New Roman" w:hAnsi="Times New Roman" w:cs="Times New Roman"/>
          <w:sz w:val="24"/>
          <w:lang w:val="bg-BG"/>
        </w:rPr>
        <w:t>)</w:t>
      </w:r>
      <w:r w:rsidR="00A83F95" w:rsidRPr="00A83F95">
        <w:rPr>
          <w:rFonts w:ascii="Times New Roman" w:hAnsi="Times New Roman" w:cs="Times New Roman"/>
          <w:sz w:val="24"/>
          <w:lang w:val="bg-BG"/>
        </w:rPr>
        <w:t>.</w:t>
      </w:r>
    </w:p>
    <w:p w:rsidR="00276280" w:rsidRPr="00A83F95" w:rsidRDefault="00276280" w:rsidP="00276280">
      <w:pPr>
        <w:spacing w:after="0" w:line="240" w:lineRule="auto"/>
        <w:rPr>
          <w:rFonts w:ascii="Times New Roman" w:hAnsi="Times New Roman" w:cs="Times New Roman"/>
          <w:sz w:val="24"/>
          <w:lang w:val="bg-BG"/>
        </w:rPr>
      </w:pPr>
    </w:p>
    <w:p w:rsidR="00A83F95" w:rsidRDefault="00F07E4A" w:rsidP="00276280">
      <w:pPr>
        <w:spacing w:after="0" w:line="240" w:lineRule="auto"/>
        <w:ind w:firstLine="720"/>
        <w:rPr>
          <w:rFonts w:ascii="Times New Roman" w:hAnsi="Times New Roman" w:cs="Times New Roman"/>
          <w:sz w:val="24"/>
          <w:lang w:val="bg-BG"/>
        </w:rPr>
      </w:pPr>
      <w:r w:rsidRPr="00F07E4A">
        <w:rPr>
          <w:rFonts w:ascii="Times New Roman" w:hAnsi="Times New Roman" w:cs="Times New Roman"/>
          <w:i/>
          <w:sz w:val="24"/>
          <w:lang w:val="bg-BG"/>
        </w:rPr>
        <w:t>Дабигатран (Прадакса)</w:t>
      </w:r>
      <w:r w:rsidR="00A83F95" w:rsidRPr="00A83F95">
        <w:rPr>
          <w:rFonts w:ascii="Times New Roman" w:hAnsi="Times New Roman" w:cs="Times New Roman"/>
          <w:sz w:val="24"/>
          <w:lang w:val="bg-BG"/>
        </w:rPr>
        <w:t>: За процедури с висок риск от кървене,</w:t>
      </w:r>
      <w:r w:rsidR="000800DB">
        <w:rPr>
          <w:rFonts w:ascii="Times New Roman" w:hAnsi="Times New Roman" w:cs="Times New Roman"/>
          <w:sz w:val="24"/>
          <w:lang w:val="bg-BG"/>
        </w:rPr>
        <w:t xml:space="preserve"> </w:t>
      </w:r>
      <w:r w:rsidR="00A83F95" w:rsidRPr="00A83F95">
        <w:rPr>
          <w:rFonts w:ascii="Times New Roman" w:hAnsi="Times New Roman" w:cs="Times New Roman"/>
          <w:sz w:val="24"/>
          <w:lang w:val="bg-BG"/>
        </w:rPr>
        <w:t xml:space="preserve">насоките на ACC препоръчват </w:t>
      </w:r>
      <w:r>
        <w:rPr>
          <w:rFonts w:ascii="Times New Roman" w:hAnsi="Times New Roman" w:cs="Times New Roman"/>
          <w:sz w:val="24"/>
          <w:lang w:val="bg-BG"/>
        </w:rPr>
        <w:t xml:space="preserve">спиране на дабигатран </w:t>
      </w:r>
      <w:r w:rsidR="00A83F95" w:rsidRPr="00370F66">
        <w:rPr>
          <w:rFonts w:ascii="Times New Roman" w:hAnsi="Times New Roman" w:cs="Times New Roman"/>
          <w:b/>
          <w:i/>
          <w:sz w:val="24"/>
          <w:lang w:val="bg-BG"/>
        </w:rPr>
        <w:t>2 дни</w:t>
      </w:r>
      <w:r w:rsidR="00A83F95" w:rsidRPr="00A83F95">
        <w:rPr>
          <w:rFonts w:ascii="Times New Roman" w:hAnsi="Times New Roman" w:cs="Times New Roman"/>
          <w:sz w:val="24"/>
          <w:lang w:val="bg-BG"/>
        </w:rPr>
        <w:t xml:space="preserve"> преди</w:t>
      </w:r>
      <w:r w:rsidR="00370F66">
        <w:rPr>
          <w:rFonts w:ascii="Times New Roman" w:hAnsi="Times New Roman" w:cs="Times New Roman"/>
          <w:sz w:val="24"/>
          <w:lang w:val="bg-BG"/>
        </w:rPr>
        <w:t xml:space="preserve"> </w:t>
      </w:r>
      <w:r w:rsidR="00A83F95" w:rsidRPr="00A83F95">
        <w:rPr>
          <w:rFonts w:ascii="Times New Roman" w:hAnsi="Times New Roman" w:cs="Times New Roman"/>
          <w:sz w:val="24"/>
          <w:lang w:val="bg-BG"/>
        </w:rPr>
        <w:t>операцията</w:t>
      </w:r>
      <w:r w:rsidR="00370F66">
        <w:rPr>
          <w:rFonts w:ascii="Times New Roman" w:hAnsi="Times New Roman" w:cs="Times New Roman"/>
          <w:sz w:val="24"/>
          <w:lang w:val="bg-BG"/>
        </w:rPr>
        <w:t xml:space="preserve"> </w:t>
      </w:r>
      <w:r w:rsidR="00BD7B1B">
        <w:rPr>
          <w:rFonts w:ascii="Times New Roman" w:hAnsi="Times New Roman" w:cs="Times New Roman"/>
          <w:sz w:val="24"/>
          <w:lang w:val="bg-BG"/>
        </w:rPr>
        <w:t xml:space="preserve">без </w:t>
      </w:r>
      <w:r w:rsidR="00097F1C">
        <w:rPr>
          <w:rFonts w:ascii="Times New Roman" w:hAnsi="Times New Roman" w:cs="Times New Roman"/>
          <w:sz w:val="24"/>
          <w:lang w:val="bg-BG"/>
        </w:rPr>
        <w:t>примостяване</w:t>
      </w:r>
      <w:r w:rsidR="00A83F95" w:rsidRPr="00A83F95">
        <w:rPr>
          <w:rFonts w:ascii="Times New Roman" w:hAnsi="Times New Roman" w:cs="Times New Roman"/>
          <w:sz w:val="24"/>
          <w:lang w:val="bg-BG"/>
        </w:rPr>
        <w:t>. При пациенти с</w:t>
      </w:r>
      <w:r w:rsidR="00D32AB1">
        <w:rPr>
          <w:rFonts w:ascii="Times New Roman" w:hAnsi="Times New Roman" w:cs="Times New Roman"/>
          <w:sz w:val="24"/>
          <w:lang w:val="bg-BG"/>
        </w:rPr>
        <w:t xml:space="preserve"> </w:t>
      </w:r>
      <w:r w:rsidR="00A83F95" w:rsidRPr="00A83F95">
        <w:rPr>
          <w:rFonts w:ascii="Times New Roman" w:hAnsi="Times New Roman" w:cs="Times New Roman"/>
          <w:sz w:val="24"/>
          <w:lang w:val="bg-BG"/>
        </w:rPr>
        <w:t xml:space="preserve">увредена бъбречна функция (креатининов клирънс &lt; 50 ml/min) се препоръчва </w:t>
      </w:r>
      <w:r>
        <w:rPr>
          <w:rFonts w:ascii="Times New Roman" w:hAnsi="Times New Roman" w:cs="Times New Roman"/>
          <w:sz w:val="24"/>
          <w:lang w:val="bg-BG"/>
        </w:rPr>
        <w:t xml:space="preserve">спиране </w:t>
      </w:r>
      <w:r w:rsidR="00A83F95" w:rsidRPr="00370F66">
        <w:rPr>
          <w:rFonts w:ascii="Times New Roman" w:hAnsi="Times New Roman" w:cs="Times New Roman"/>
          <w:b/>
          <w:sz w:val="24"/>
          <w:lang w:val="bg-BG"/>
        </w:rPr>
        <w:t>4</w:t>
      </w:r>
      <w:r w:rsidR="00370F66">
        <w:rPr>
          <w:rFonts w:ascii="Times New Roman" w:hAnsi="Times New Roman" w:cs="Times New Roman"/>
          <w:b/>
          <w:sz w:val="24"/>
          <w:lang w:val="bg-BG"/>
        </w:rPr>
        <w:t xml:space="preserve"> </w:t>
      </w:r>
      <w:r w:rsidR="00A83F95" w:rsidRPr="00370F66">
        <w:rPr>
          <w:rFonts w:ascii="Times New Roman" w:hAnsi="Times New Roman" w:cs="Times New Roman"/>
          <w:b/>
          <w:sz w:val="24"/>
          <w:lang w:val="bg-BG"/>
        </w:rPr>
        <w:t>дни</w:t>
      </w:r>
      <w:r w:rsidRPr="00370F66">
        <w:rPr>
          <w:rFonts w:ascii="Times New Roman" w:hAnsi="Times New Roman" w:cs="Times New Roman"/>
          <w:b/>
          <w:sz w:val="24"/>
          <w:lang w:val="bg-BG"/>
        </w:rPr>
        <w:t xml:space="preserve"> </w:t>
      </w:r>
      <w:r>
        <w:rPr>
          <w:rFonts w:ascii="Times New Roman" w:hAnsi="Times New Roman" w:cs="Times New Roman"/>
          <w:sz w:val="24"/>
          <w:lang w:val="bg-BG"/>
        </w:rPr>
        <w:t>предоперативно</w:t>
      </w:r>
      <w:r w:rsidRPr="00F07E4A">
        <w:rPr>
          <w:rFonts w:ascii="Times New Roman" w:hAnsi="Times New Roman" w:cs="Times New Roman"/>
          <w:sz w:val="24"/>
          <w:vertAlign w:val="superscript"/>
          <w:lang w:val="bg-BG"/>
        </w:rPr>
        <w:t>125</w:t>
      </w:r>
      <w:r w:rsidR="00A83F95" w:rsidRPr="00A83F95">
        <w:rPr>
          <w:rFonts w:ascii="Times New Roman" w:hAnsi="Times New Roman" w:cs="Times New Roman"/>
          <w:sz w:val="24"/>
          <w:lang w:val="bg-BG"/>
        </w:rPr>
        <w:t>. Американското</w:t>
      </w:r>
      <w:r w:rsidR="000800DB">
        <w:rPr>
          <w:rFonts w:ascii="Times New Roman" w:hAnsi="Times New Roman" w:cs="Times New Roman"/>
          <w:sz w:val="24"/>
          <w:lang w:val="bg-BG"/>
        </w:rPr>
        <w:t xml:space="preserve"> </w:t>
      </w:r>
      <w:r w:rsidR="00A83F95" w:rsidRPr="00A83F95">
        <w:rPr>
          <w:rFonts w:ascii="Times New Roman" w:hAnsi="Times New Roman" w:cs="Times New Roman"/>
          <w:sz w:val="24"/>
          <w:lang w:val="bg-BG"/>
        </w:rPr>
        <w:t xml:space="preserve">дружество по регионална анестезия (ASRA) предлага </w:t>
      </w:r>
      <w:r w:rsidR="00A83F95" w:rsidRPr="00370F66">
        <w:rPr>
          <w:rFonts w:ascii="Times New Roman" w:hAnsi="Times New Roman" w:cs="Times New Roman"/>
          <w:b/>
          <w:i/>
          <w:sz w:val="24"/>
          <w:lang w:val="bg-BG"/>
        </w:rPr>
        <w:t>само 34-часов интервал преди невроаксиален блок и 72 до 90</w:t>
      </w:r>
      <w:r w:rsidR="00370F66">
        <w:rPr>
          <w:rFonts w:ascii="Times New Roman" w:hAnsi="Times New Roman" w:cs="Times New Roman"/>
          <w:b/>
          <w:i/>
          <w:sz w:val="24"/>
          <w:lang w:val="bg-BG"/>
        </w:rPr>
        <w:t xml:space="preserve"> </w:t>
      </w:r>
      <w:r w:rsidR="00A83F95" w:rsidRPr="00370F66">
        <w:rPr>
          <w:rFonts w:ascii="Times New Roman" w:hAnsi="Times New Roman" w:cs="Times New Roman"/>
          <w:b/>
          <w:i/>
          <w:sz w:val="24"/>
          <w:lang w:val="bg-BG"/>
        </w:rPr>
        <w:t>часа при пациенти с бъбречно увреждане</w:t>
      </w:r>
      <w:r w:rsidR="00BD7B1B" w:rsidRPr="00BD7B1B">
        <w:rPr>
          <w:rFonts w:ascii="Times New Roman" w:hAnsi="Times New Roman" w:cs="Times New Roman"/>
          <w:sz w:val="24"/>
          <w:vertAlign w:val="superscript"/>
          <w:lang w:val="bg-BG"/>
        </w:rPr>
        <w:t>126</w:t>
      </w:r>
      <w:r w:rsidR="00A83F95" w:rsidRPr="00A83F95">
        <w:rPr>
          <w:rFonts w:ascii="Times New Roman" w:hAnsi="Times New Roman" w:cs="Times New Roman"/>
          <w:sz w:val="24"/>
          <w:lang w:val="bg-BG"/>
        </w:rPr>
        <w:t>.В случай на предозиране</w:t>
      </w:r>
      <w:r w:rsidR="00BD7B1B">
        <w:rPr>
          <w:rFonts w:ascii="Times New Roman" w:hAnsi="Times New Roman" w:cs="Times New Roman"/>
          <w:sz w:val="24"/>
          <w:lang w:val="bg-BG"/>
        </w:rPr>
        <w:t>,</w:t>
      </w:r>
      <w:r w:rsidR="00A83F95" w:rsidRPr="00A83F95">
        <w:rPr>
          <w:rFonts w:ascii="Times New Roman" w:hAnsi="Times New Roman" w:cs="Times New Roman"/>
          <w:sz w:val="24"/>
          <w:lang w:val="bg-BG"/>
        </w:rPr>
        <w:t xml:space="preserve"> ефектът </w:t>
      </w:r>
      <w:r w:rsidR="00BD7B1B">
        <w:rPr>
          <w:rFonts w:ascii="Times New Roman" w:hAnsi="Times New Roman" w:cs="Times New Roman"/>
          <w:sz w:val="24"/>
          <w:lang w:val="bg-BG"/>
        </w:rPr>
        <w:t xml:space="preserve">на дабигатран </w:t>
      </w:r>
      <w:r w:rsidR="00A83F95" w:rsidRPr="00A83F95">
        <w:rPr>
          <w:rFonts w:ascii="Times New Roman" w:hAnsi="Times New Roman" w:cs="Times New Roman"/>
          <w:sz w:val="24"/>
          <w:lang w:val="bg-BG"/>
        </w:rPr>
        <w:t>може да бъде</w:t>
      </w:r>
      <w:r w:rsidR="00370F66">
        <w:rPr>
          <w:rFonts w:ascii="Times New Roman" w:hAnsi="Times New Roman" w:cs="Times New Roman"/>
          <w:sz w:val="24"/>
          <w:lang w:val="bg-BG"/>
        </w:rPr>
        <w:t xml:space="preserve"> </w:t>
      </w:r>
      <w:r w:rsidR="00A83F95" w:rsidRPr="00A83F95">
        <w:rPr>
          <w:rFonts w:ascii="Times New Roman" w:hAnsi="Times New Roman" w:cs="Times New Roman"/>
          <w:sz w:val="24"/>
          <w:lang w:val="bg-BG"/>
        </w:rPr>
        <w:t>неутрализиран с хемодиализа и прилагане на антидот</w:t>
      </w:r>
      <w:r w:rsidR="00BD7B1B">
        <w:rPr>
          <w:rFonts w:ascii="Times New Roman" w:hAnsi="Times New Roman" w:cs="Times New Roman"/>
          <w:sz w:val="24"/>
          <w:lang w:val="bg-BG"/>
        </w:rPr>
        <w:t xml:space="preserve"> (</w:t>
      </w:r>
      <w:r w:rsidR="00BD7B1B">
        <w:rPr>
          <w:rFonts w:ascii="Times New Roman" w:hAnsi="Times New Roman" w:cs="Times New Roman"/>
          <w:sz w:val="24"/>
          <w:lang w:val="en-US"/>
        </w:rPr>
        <w:t>i</w:t>
      </w:r>
      <w:r w:rsidR="00A83F95" w:rsidRPr="00A83F95">
        <w:rPr>
          <w:rFonts w:ascii="Times New Roman" w:hAnsi="Times New Roman" w:cs="Times New Roman"/>
          <w:sz w:val="24"/>
          <w:lang w:val="bg-BG"/>
        </w:rPr>
        <w:t>darucizumab</w:t>
      </w:r>
      <w:r w:rsidR="00BD7B1B">
        <w:rPr>
          <w:rFonts w:ascii="Times New Roman" w:hAnsi="Times New Roman" w:cs="Times New Roman"/>
          <w:sz w:val="24"/>
          <w:lang w:val="bg-BG"/>
        </w:rPr>
        <w:t>)</w:t>
      </w:r>
      <w:r w:rsidR="00A83F95" w:rsidRPr="00A83F95">
        <w:rPr>
          <w:rFonts w:ascii="Times New Roman" w:hAnsi="Times New Roman" w:cs="Times New Roman"/>
          <w:sz w:val="24"/>
          <w:lang w:val="bg-BG"/>
        </w:rPr>
        <w:t>. При животозастрашаващо кървене</w:t>
      </w:r>
      <w:r w:rsidR="00BD7B1B">
        <w:rPr>
          <w:rFonts w:ascii="Times New Roman" w:hAnsi="Times New Roman" w:cs="Times New Roman"/>
          <w:sz w:val="24"/>
          <w:lang w:val="bg-BG"/>
        </w:rPr>
        <w:t xml:space="preserve"> той </w:t>
      </w:r>
      <w:r w:rsidR="00A83F95" w:rsidRPr="00A83F95">
        <w:rPr>
          <w:rFonts w:ascii="Times New Roman" w:hAnsi="Times New Roman" w:cs="Times New Roman"/>
          <w:sz w:val="24"/>
          <w:lang w:val="bg-BG"/>
        </w:rPr>
        <w:t>може да се комбинира с транексамова киселина</w:t>
      </w:r>
      <w:r w:rsidR="00BD7B1B">
        <w:rPr>
          <w:rFonts w:ascii="Times New Roman" w:hAnsi="Times New Roman" w:cs="Times New Roman"/>
          <w:sz w:val="24"/>
          <w:lang w:val="bg-BG"/>
        </w:rPr>
        <w:t xml:space="preserve">. </w:t>
      </w:r>
      <w:r w:rsidR="00A83F95" w:rsidRPr="00A83F95">
        <w:rPr>
          <w:rFonts w:ascii="Times New Roman" w:hAnsi="Times New Roman" w:cs="Times New Roman"/>
          <w:sz w:val="24"/>
          <w:lang w:val="bg-BG"/>
        </w:rPr>
        <w:t>Използването на FFP понастоящем е ограничено до</w:t>
      </w:r>
      <w:r w:rsidR="00370F66">
        <w:rPr>
          <w:rFonts w:ascii="Times New Roman" w:hAnsi="Times New Roman" w:cs="Times New Roman"/>
          <w:sz w:val="24"/>
          <w:lang w:val="bg-BG"/>
        </w:rPr>
        <w:t xml:space="preserve"> </w:t>
      </w:r>
      <w:r w:rsidR="00A83F95" w:rsidRPr="00A83F95">
        <w:rPr>
          <w:rFonts w:ascii="Times New Roman" w:hAnsi="Times New Roman" w:cs="Times New Roman"/>
          <w:sz w:val="24"/>
          <w:lang w:val="bg-BG"/>
        </w:rPr>
        <w:t>спасителна терапия, ако не са налични други</w:t>
      </w:r>
      <w:r w:rsidR="00370F66">
        <w:rPr>
          <w:rFonts w:ascii="Times New Roman" w:hAnsi="Times New Roman" w:cs="Times New Roman"/>
          <w:sz w:val="24"/>
          <w:lang w:val="bg-BG"/>
        </w:rPr>
        <w:t xml:space="preserve"> </w:t>
      </w:r>
      <w:r w:rsidR="00A83F95" w:rsidRPr="00A83F95">
        <w:rPr>
          <w:rFonts w:ascii="Times New Roman" w:hAnsi="Times New Roman" w:cs="Times New Roman"/>
          <w:sz w:val="24"/>
          <w:lang w:val="bg-BG"/>
        </w:rPr>
        <w:t>алтернативи</w:t>
      </w:r>
      <w:r w:rsidR="00A83F95" w:rsidRPr="00BD7B1B">
        <w:rPr>
          <w:rFonts w:ascii="Times New Roman" w:hAnsi="Times New Roman" w:cs="Times New Roman"/>
          <w:sz w:val="24"/>
          <w:vertAlign w:val="superscript"/>
          <w:lang w:val="bg-BG"/>
        </w:rPr>
        <w:t>12</w:t>
      </w:r>
      <w:r w:rsidR="00BD7B1B" w:rsidRPr="00BD7B1B">
        <w:rPr>
          <w:rFonts w:ascii="Times New Roman" w:hAnsi="Times New Roman" w:cs="Times New Roman"/>
          <w:sz w:val="24"/>
          <w:vertAlign w:val="superscript"/>
          <w:lang w:val="en-US"/>
        </w:rPr>
        <w:t>7</w:t>
      </w:r>
      <w:r w:rsidR="00A83F95" w:rsidRPr="00BD7B1B">
        <w:rPr>
          <w:rFonts w:ascii="Times New Roman" w:hAnsi="Times New Roman" w:cs="Times New Roman"/>
          <w:sz w:val="24"/>
          <w:vertAlign w:val="superscript"/>
          <w:lang w:val="bg-BG"/>
        </w:rPr>
        <w:t>,1</w:t>
      </w:r>
      <w:r w:rsidR="00BD7B1B" w:rsidRPr="00BD7B1B">
        <w:rPr>
          <w:rFonts w:ascii="Times New Roman" w:hAnsi="Times New Roman" w:cs="Times New Roman"/>
          <w:sz w:val="24"/>
          <w:vertAlign w:val="superscript"/>
          <w:lang w:val="en-US"/>
        </w:rPr>
        <w:t>28</w:t>
      </w:r>
      <w:r w:rsidR="00A83F95" w:rsidRPr="00A83F95">
        <w:rPr>
          <w:rFonts w:ascii="Times New Roman" w:hAnsi="Times New Roman" w:cs="Times New Roman"/>
          <w:sz w:val="24"/>
          <w:lang w:val="bg-BG"/>
        </w:rPr>
        <w:t>.</w:t>
      </w:r>
    </w:p>
    <w:p w:rsidR="00276280" w:rsidRDefault="00276280" w:rsidP="00276280">
      <w:pPr>
        <w:spacing w:after="0" w:line="240" w:lineRule="auto"/>
        <w:ind w:firstLine="720"/>
        <w:rPr>
          <w:rFonts w:ascii="Times New Roman" w:hAnsi="Times New Roman" w:cs="Times New Roman"/>
          <w:sz w:val="24"/>
          <w:lang w:val="bg-BG"/>
        </w:rPr>
      </w:pPr>
    </w:p>
    <w:p w:rsidR="00BD7B1B" w:rsidRPr="00BD7B1B" w:rsidRDefault="00BD7B1B" w:rsidP="00276280">
      <w:pPr>
        <w:spacing w:after="0" w:line="240" w:lineRule="auto"/>
        <w:ind w:firstLine="720"/>
        <w:rPr>
          <w:rFonts w:ascii="Times New Roman" w:hAnsi="Times New Roman" w:cs="Times New Roman"/>
          <w:sz w:val="24"/>
          <w:lang w:val="bg-BG"/>
        </w:rPr>
      </w:pPr>
      <w:r w:rsidRPr="00BD7B1B">
        <w:rPr>
          <w:rFonts w:ascii="Times New Roman" w:hAnsi="Times New Roman" w:cs="Times New Roman"/>
          <w:i/>
          <w:sz w:val="24"/>
          <w:lang w:val="bg-BG"/>
        </w:rPr>
        <w:t>Ривароксабан (Ксарелто)</w:t>
      </w:r>
      <w:r w:rsidRPr="00BD7B1B">
        <w:rPr>
          <w:rFonts w:ascii="Times New Roman" w:hAnsi="Times New Roman" w:cs="Times New Roman"/>
          <w:sz w:val="24"/>
          <w:lang w:val="bg-BG"/>
        </w:rPr>
        <w:t xml:space="preserve">: ACC </w:t>
      </w:r>
      <w:r>
        <w:rPr>
          <w:rFonts w:ascii="Times New Roman" w:hAnsi="Times New Roman" w:cs="Times New Roman"/>
          <w:sz w:val="24"/>
          <w:lang w:val="bg-BG"/>
        </w:rPr>
        <w:t xml:space="preserve">препоръчва спиране </w:t>
      </w:r>
      <w:r w:rsidRPr="0011347D">
        <w:rPr>
          <w:rFonts w:ascii="Times New Roman" w:hAnsi="Times New Roman" w:cs="Times New Roman"/>
          <w:b/>
          <w:sz w:val="24"/>
          <w:lang w:val="bg-BG"/>
        </w:rPr>
        <w:t>2 дни</w:t>
      </w:r>
      <w:r w:rsidRPr="00BD7B1B">
        <w:rPr>
          <w:rFonts w:ascii="Times New Roman" w:hAnsi="Times New Roman" w:cs="Times New Roman"/>
          <w:sz w:val="24"/>
          <w:lang w:val="bg-BG"/>
        </w:rPr>
        <w:t xml:space="preserve"> преди високорискови процедури и 3 дни при бъбречно</w:t>
      </w:r>
      <w:r w:rsidR="000800DB">
        <w:rPr>
          <w:rFonts w:ascii="Times New Roman" w:hAnsi="Times New Roman" w:cs="Times New Roman"/>
          <w:sz w:val="24"/>
          <w:lang w:val="bg-BG"/>
        </w:rPr>
        <w:t xml:space="preserve"> </w:t>
      </w:r>
      <w:r w:rsidRPr="00BD7B1B">
        <w:rPr>
          <w:rFonts w:ascii="Times New Roman" w:hAnsi="Times New Roman" w:cs="Times New Roman"/>
          <w:sz w:val="24"/>
          <w:lang w:val="bg-BG"/>
        </w:rPr>
        <w:t>увреждане.</w:t>
      </w:r>
      <w:r w:rsidR="000800DB">
        <w:rPr>
          <w:rFonts w:ascii="Times New Roman" w:hAnsi="Times New Roman" w:cs="Times New Roman"/>
          <w:sz w:val="24"/>
          <w:lang w:val="bg-BG"/>
        </w:rPr>
        <w:t xml:space="preserve"> </w:t>
      </w:r>
      <w:r w:rsidRPr="00BD7B1B">
        <w:rPr>
          <w:rFonts w:ascii="Times New Roman" w:hAnsi="Times New Roman" w:cs="Times New Roman"/>
          <w:sz w:val="24"/>
          <w:lang w:val="bg-BG"/>
        </w:rPr>
        <w:t xml:space="preserve">ASRA препоръчва </w:t>
      </w:r>
      <w:r>
        <w:rPr>
          <w:rFonts w:ascii="Times New Roman" w:hAnsi="Times New Roman" w:cs="Times New Roman"/>
          <w:sz w:val="24"/>
          <w:lang w:val="bg-BG"/>
        </w:rPr>
        <w:t xml:space="preserve">спиране </w:t>
      </w:r>
    </w:p>
    <w:p w:rsidR="00BD7B1B" w:rsidRPr="00BD7B1B" w:rsidRDefault="00BD7B1B" w:rsidP="00276280">
      <w:pPr>
        <w:spacing w:after="0" w:line="240" w:lineRule="auto"/>
        <w:rPr>
          <w:rFonts w:ascii="Times New Roman" w:hAnsi="Times New Roman" w:cs="Times New Roman"/>
          <w:sz w:val="24"/>
          <w:lang w:val="bg-BG"/>
        </w:rPr>
      </w:pPr>
      <w:r w:rsidRPr="00BD7B1B">
        <w:rPr>
          <w:rFonts w:ascii="Times New Roman" w:hAnsi="Times New Roman" w:cs="Times New Roman"/>
          <w:sz w:val="24"/>
          <w:lang w:val="bg-BG"/>
        </w:rPr>
        <w:t>на ривароксабан 22 до 26 часа преди невроаксиал</w:t>
      </w:r>
      <w:r>
        <w:rPr>
          <w:rFonts w:ascii="Times New Roman" w:hAnsi="Times New Roman" w:cs="Times New Roman"/>
          <w:sz w:val="24"/>
          <w:lang w:val="bg-BG"/>
        </w:rPr>
        <w:t>ен</w:t>
      </w:r>
      <w:r w:rsidRPr="00BD7B1B">
        <w:rPr>
          <w:rFonts w:ascii="Times New Roman" w:hAnsi="Times New Roman" w:cs="Times New Roman"/>
          <w:sz w:val="24"/>
          <w:lang w:val="bg-BG"/>
        </w:rPr>
        <w:t xml:space="preserve"> блок,</w:t>
      </w:r>
      <w:r>
        <w:rPr>
          <w:rFonts w:ascii="Times New Roman" w:hAnsi="Times New Roman" w:cs="Times New Roman"/>
          <w:sz w:val="24"/>
          <w:lang w:val="bg-BG"/>
        </w:rPr>
        <w:t xml:space="preserve"> а при бъбречно увреждане - </w:t>
      </w:r>
    </w:p>
    <w:p w:rsidR="008C5367" w:rsidRDefault="008C5367"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44 до 65 часа</w:t>
      </w:r>
      <w:r w:rsidRPr="008C5367">
        <w:rPr>
          <w:rFonts w:ascii="Times New Roman" w:hAnsi="Times New Roman" w:cs="Times New Roman"/>
          <w:sz w:val="24"/>
          <w:vertAlign w:val="superscript"/>
          <w:lang w:val="bg-BG"/>
        </w:rPr>
        <w:t>128</w:t>
      </w:r>
      <w:r w:rsidR="00BD7B1B" w:rsidRPr="00BD7B1B">
        <w:rPr>
          <w:rFonts w:ascii="Times New Roman" w:hAnsi="Times New Roman" w:cs="Times New Roman"/>
          <w:sz w:val="24"/>
          <w:lang w:val="bg-BG"/>
        </w:rPr>
        <w:t>.</w:t>
      </w:r>
      <w:r w:rsidR="000800DB">
        <w:rPr>
          <w:rFonts w:ascii="Times New Roman" w:hAnsi="Times New Roman" w:cs="Times New Roman"/>
          <w:sz w:val="24"/>
          <w:lang w:val="bg-BG"/>
        </w:rPr>
        <w:t xml:space="preserve"> </w:t>
      </w:r>
      <w:r w:rsidR="00BD7B1B" w:rsidRPr="00BD7B1B">
        <w:rPr>
          <w:rFonts w:ascii="Times New Roman" w:hAnsi="Times New Roman" w:cs="Times New Roman"/>
          <w:sz w:val="24"/>
          <w:lang w:val="bg-BG"/>
        </w:rPr>
        <w:t>Ривароксабанът не се отстранява чрез хемодиализа.</w:t>
      </w:r>
      <w:r>
        <w:rPr>
          <w:rFonts w:ascii="Times New Roman" w:hAnsi="Times New Roman" w:cs="Times New Roman"/>
          <w:sz w:val="24"/>
          <w:lang w:val="bg-BG"/>
        </w:rPr>
        <w:t xml:space="preserve"> Единственият антидот на ривароксабан и апиксабан е </w:t>
      </w:r>
      <w:r w:rsidR="00BD7B1B" w:rsidRPr="00BD7B1B">
        <w:rPr>
          <w:rFonts w:ascii="Times New Roman" w:hAnsi="Times New Roman" w:cs="Times New Roman"/>
          <w:sz w:val="24"/>
          <w:lang w:val="bg-BG"/>
        </w:rPr>
        <w:t>Andexanet alfa (AndexXa)</w:t>
      </w:r>
      <w:r w:rsidRPr="008C5367">
        <w:rPr>
          <w:rFonts w:ascii="Times New Roman" w:hAnsi="Times New Roman" w:cs="Times New Roman"/>
          <w:sz w:val="24"/>
          <w:vertAlign w:val="superscript"/>
          <w:lang w:val="bg-BG"/>
        </w:rPr>
        <w:t>129</w:t>
      </w:r>
      <w:r>
        <w:rPr>
          <w:rFonts w:ascii="Times New Roman" w:hAnsi="Times New Roman" w:cs="Times New Roman"/>
          <w:sz w:val="24"/>
          <w:lang w:val="bg-BG"/>
        </w:rPr>
        <w:t>.</w:t>
      </w:r>
    </w:p>
    <w:p w:rsidR="00276280" w:rsidRDefault="00276280" w:rsidP="00276280">
      <w:pPr>
        <w:spacing w:after="0" w:line="240" w:lineRule="auto"/>
        <w:rPr>
          <w:rFonts w:ascii="Times New Roman" w:hAnsi="Times New Roman" w:cs="Times New Roman"/>
          <w:sz w:val="24"/>
          <w:lang w:val="bg-BG"/>
        </w:rPr>
      </w:pPr>
    </w:p>
    <w:p w:rsidR="008C5367" w:rsidRPr="008C5367" w:rsidRDefault="008C5367"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ab/>
      </w:r>
      <w:r w:rsidRPr="006519A1">
        <w:rPr>
          <w:rFonts w:ascii="Times New Roman" w:hAnsi="Times New Roman" w:cs="Times New Roman"/>
          <w:i/>
          <w:sz w:val="24"/>
          <w:lang w:val="bg-BG"/>
        </w:rPr>
        <w:t>Апиксабан (Еликвис):</w:t>
      </w:r>
      <w:r w:rsidRPr="008C5367">
        <w:rPr>
          <w:rFonts w:ascii="Times New Roman" w:hAnsi="Times New Roman" w:cs="Times New Roman"/>
          <w:sz w:val="24"/>
          <w:lang w:val="bg-BG"/>
        </w:rPr>
        <w:t xml:space="preserve"> ACC препоръчва </w:t>
      </w:r>
      <w:r>
        <w:rPr>
          <w:rFonts w:ascii="Times New Roman" w:hAnsi="Times New Roman" w:cs="Times New Roman"/>
          <w:sz w:val="24"/>
          <w:lang w:val="bg-BG"/>
        </w:rPr>
        <w:t xml:space="preserve">спиране </w:t>
      </w:r>
      <w:r w:rsidRPr="0011347D">
        <w:rPr>
          <w:rFonts w:ascii="Times New Roman" w:hAnsi="Times New Roman" w:cs="Times New Roman"/>
          <w:b/>
          <w:sz w:val="24"/>
          <w:lang w:val="bg-BG"/>
        </w:rPr>
        <w:t>2 дни</w:t>
      </w:r>
      <w:r>
        <w:rPr>
          <w:rFonts w:ascii="Times New Roman" w:hAnsi="Times New Roman" w:cs="Times New Roman"/>
          <w:sz w:val="24"/>
          <w:lang w:val="bg-BG"/>
        </w:rPr>
        <w:t xml:space="preserve"> предоперативно</w:t>
      </w:r>
      <w:r w:rsidRPr="008C5367">
        <w:rPr>
          <w:rFonts w:ascii="Times New Roman" w:hAnsi="Times New Roman" w:cs="Times New Roman"/>
          <w:sz w:val="24"/>
          <w:lang w:val="bg-BG"/>
        </w:rPr>
        <w:t>. Тъй</w:t>
      </w:r>
    </w:p>
    <w:p w:rsidR="008C5367" w:rsidRPr="008C5367" w:rsidRDefault="008C5367" w:rsidP="00276280">
      <w:pPr>
        <w:spacing w:after="0" w:line="240" w:lineRule="auto"/>
        <w:rPr>
          <w:rFonts w:ascii="Times New Roman" w:hAnsi="Times New Roman" w:cs="Times New Roman"/>
          <w:sz w:val="24"/>
          <w:lang w:val="bg-BG"/>
        </w:rPr>
      </w:pPr>
      <w:r w:rsidRPr="008C5367">
        <w:rPr>
          <w:rFonts w:ascii="Times New Roman" w:hAnsi="Times New Roman" w:cs="Times New Roman"/>
          <w:sz w:val="24"/>
          <w:lang w:val="bg-BG"/>
        </w:rPr>
        <w:t xml:space="preserve">като 27% от лекарството се </w:t>
      </w:r>
      <w:r>
        <w:rPr>
          <w:rFonts w:ascii="Times New Roman" w:hAnsi="Times New Roman" w:cs="Times New Roman"/>
          <w:sz w:val="24"/>
          <w:lang w:val="bg-BG"/>
        </w:rPr>
        <w:t>елиминира през бъбреците, при бъбречно увреждане се препоръчва спиране 3 дни предоперативно.</w:t>
      </w:r>
      <w:r w:rsidRPr="008C5367">
        <w:rPr>
          <w:rFonts w:ascii="Times New Roman" w:hAnsi="Times New Roman" w:cs="Times New Roman"/>
          <w:sz w:val="24"/>
          <w:lang w:val="bg-BG"/>
        </w:rPr>
        <w:t xml:space="preserve"> ASRA препоръчват спиране на</w:t>
      </w:r>
    </w:p>
    <w:p w:rsidR="008C5367" w:rsidRDefault="008C5367" w:rsidP="00276280">
      <w:pPr>
        <w:spacing w:after="0" w:line="240" w:lineRule="auto"/>
        <w:rPr>
          <w:rFonts w:ascii="Times New Roman" w:hAnsi="Times New Roman" w:cs="Times New Roman"/>
          <w:sz w:val="24"/>
          <w:lang w:val="bg-BG"/>
        </w:rPr>
      </w:pPr>
      <w:r w:rsidRPr="008C5367">
        <w:rPr>
          <w:rFonts w:ascii="Times New Roman" w:hAnsi="Times New Roman" w:cs="Times New Roman"/>
          <w:sz w:val="24"/>
          <w:lang w:val="bg-BG"/>
        </w:rPr>
        <w:t>апиксабан 26 до 30 часа преди невроаксиални процедури и</w:t>
      </w:r>
      <w:r w:rsidR="000800DB">
        <w:rPr>
          <w:rFonts w:ascii="Times New Roman" w:hAnsi="Times New Roman" w:cs="Times New Roman"/>
          <w:sz w:val="24"/>
          <w:lang w:val="bg-BG"/>
        </w:rPr>
        <w:t xml:space="preserve"> </w:t>
      </w:r>
      <w:r w:rsidRPr="008C5367">
        <w:rPr>
          <w:rFonts w:ascii="Times New Roman" w:hAnsi="Times New Roman" w:cs="Times New Roman"/>
          <w:sz w:val="24"/>
          <w:lang w:val="bg-BG"/>
        </w:rPr>
        <w:t xml:space="preserve">40 до 75 часа при пациенти със серумен креатинин </w:t>
      </w:r>
      <w:r>
        <w:rPr>
          <w:rFonts w:ascii="Times New Roman" w:hAnsi="Times New Roman" w:cs="Times New Roman"/>
          <w:sz w:val="24"/>
          <w:lang w:val="bg-BG"/>
        </w:rPr>
        <w:t>над 130</w:t>
      </w:r>
      <w:r w:rsidRPr="008C5367">
        <w:rPr>
          <w:rFonts w:ascii="Times New Roman" w:hAnsi="Times New Roman" w:cs="Times New Roman"/>
          <w:sz w:val="24"/>
          <w:lang w:val="bg-BG"/>
        </w:rPr>
        <w:t xml:space="preserve"> /</w:t>
      </w:r>
      <w:r>
        <w:rPr>
          <w:rFonts w:ascii="Times New Roman" w:hAnsi="Times New Roman" w:cs="Times New Roman"/>
          <w:sz w:val="24"/>
          <w:lang w:val="bg-BG"/>
        </w:rPr>
        <w:t>μ</w:t>
      </w:r>
      <w:r>
        <w:rPr>
          <w:rFonts w:ascii="Times New Roman" w:hAnsi="Times New Roman" w:cs="Times New Roman"/>
          <w:sz w:val="24"/>
          <w:lang w:val="en-US"/>
        </w:rPr>
        <w:t>mol</w:t>
      </w:r>
      <w:r>
        <w:rPr>
          <w:rFonts w:ascii="Times New Roman" w:hAnsi="Times New Roman" w:cs="Times New Roman"/>
          <w:sz w:val="24"/>
          <w:lang w:val="bg-BG"/>
        </w:rPr>
        <w:t>/</w:t>
      </w:r>
      <w:r w:rsidRPr="008C5367">
        <w:rPr>
          <w:rFonts w:ascii="Times New Roman" w:hAnsi="Times New Roman" w:cs="Times New Roman"/>
          <w:sz w:val="24"/>
          <w:lang w:val="bg-BG"/>
        </w:rPr>
        <w:t>L</w:t>
      </w:r>
      <w:r w:rsidRPr="008C5367">
        <w:rPr>
          <w:rFonts w:ascii="Times New Roman" w:hAnsi="Times New Roman" w:cs="Times New Roman"/>
          <w:sz w:val="24"/>
          <w:vertAlign w:val="superscript"/>
          <w:lang w:val="bg-BG"/>
        </w:rPr>
        <w:t>128</w:t>
      </w:r>
      <w:r w:rsidRPr="008C5367">
        <w:rPr>
          <w:rFonts w:ascii="Times New Roman" w:hAnsi="Times New Roman" w:cs="Times New Roman"/>
          <w:sz w:val="24"/>
          <w:lang w:val="bg-BG"/>
        </w:rPr>
        <w:t>.</w:t>
      </w:r>
    </w:p>
    <w:p w:rsidR="00276280" w:rsidRDefault="00276280" w:rsidP="00276280">
      <w:pPr>
        <w:spacing w:after="0" w:line="240" w:lineRule="auto"/>
        <w:rPr>
          <w:rFonts w:ascii="Times New Roman" w:hAnsi="Times New Roman" w:cs="Times New Roman"/>
          <w:sz w:val="24"/>
          <w:lang w:val="bg-BG"/>
        </w:rPr>
      </w:pPr>
    </w:p>
    <w:p w:rsidR="007C46CD" w:rsidRPr="007C46CD" w:rsidRDefault="007C46CD"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ab/>
      </w:r>
      <w:r w:rsidRPr="00901AD2">
        <w:rPr>
          <w:rFonts w:ascii="Times New Roman" w:hAnsi="Times New Roman" w:cs="Times New Roman"/>
          <w:i/>
          <w:sz w:val="24"/>
          <w:lang w:val="bg-BG"/>
        </w:rPr>
        <w:t>Ацетилсалицилова киселина (</w:t>
      </w:r>
      <w:r w:rsidRPr="00901AD2">
        <w:rPr>
          <w:rFonts w:ascii="Times New Roman" w:hAnsi="Times New Roman" w:cs="Times New Roman"/>
          <w:i/>
          <w:sz w:val="24"/>
          <w:lang w:val="en-US"/>
        </w:rPr>
        <w:t xml:space="preserve">ASA, </w:t>
      </w:r>
      <w:r w:rsidRPr="00901AD2">
        <w:rPr>
          <w:rFonts w:ascii="Times New Roman" w:hAnsi="Times New Roman" w:cs="Times New Roman"/>
          <w:i/>
          <w:sz w:val="24"/>
          <w:lang w:val="bg-BG"/>
        </w:rPr>
        <w:t>Аспирин):</w:t>
      </w:r>
      <w:r w:rsidRPr="007C46CD">
        <w:rPr>
          <w:rFonts w:ascii="Times New Roman" w:hAnsi="Times New Roman" w:cs="Times New Roman"/>
          <w:sz w:val="24"/>
          <w:lang w:val="bg-BG"/>
        </w:rPr>
        <w:t xml:space="preserve"> Рискът от кървене при</w:t>
      </w:r>
      <w:r w:rsidR="000800DB">
        <w:rPr>
          <w:rFonts w:ascii="Times New Roman" w:hAnsi="Times New Roman" w:cs="Times New Roman"/>
          <w:sz w:val="24"/>
          <w:lang w:val="bg-BG"/>
        </w:rPr>
        <w:t xml:space="preserve"> </w:t>
      </w:r>
      <w:r w:rsidRPr="007C46CD">
        <w:rPr>
          <w:rFonts w:ascii="Times New Roman" w:hAnsi="Times New Roman" w:cs="Times New Roman"/>
          <w:sz w:val="24"/>
          <w:lang w:val="bg-BG"/>
        </w:rPr>
        <w:t>прием на ASA в периоперативния период е широко проучен,</w:t>
      </w:r>
      <w:r w:rsidR="000800DB">
        <w:rPr>
          <w:rFonts w:ascii="Times New Roman" w:hAnsi="Times New Roman" w:cs="Times New Roman"/>
          <w:sz w:val="24"/>
          <w:lang w:val="bg-BG"/>
        </w:rPr>
        <w:t xml:space="preserve"> </w:t>
      </w:r>
      <w:r w:rsidRPr="007C46CD">
        <w:rPr>
          <w:rFonts w:ascii="Times New Roman" w:hAnsi="Times New Roman" w:cs="Times New Roman"/>
          <w:sz w:val="24"/>
          <w:lang w:val="bg-BG"/>
        </w:rPr>
        <w:t xml:space="preserve">но резултатите са противоречиви. </w:t>
      </w:r>
      <w:r>
        <w:rPr>
          <w:rFonts w:ascii="Times New Roman" w:hAnsi="Times New Roman" w:cs="Times New Roman"/>
          <w:sz w:val="24"/>
          <w:lang w:val="bg-BG"/>
        </w:rPr>
        <w:t>Н</w:t>
      </w:r>
      <w:r w:rsidRPr="007C46CD">
        <w:rPr>
          <w:rFonts w:ascii="Times New Roman" w:hAnsi="Times New Roman" w:cs="Times New Roman"/>
          <w:sz w:val="24"/>
          <w:lang w:val="bg-BG"/>
        </w:rPr>
        <w:t>яколко</w:t>
      </w:r>
      <w:r w:rsidR="0011347D">
        <w:rPr>
          <w:rFonts w:ascii="Times New Roman" w:hAnsi="Times New Roman" w:cs="Times New Roman"/>
          <w:sz w:val="24"/>
          <w:lang w:val="bg-BG"/>
        </w:rPr>
        <w:t xml:space="preserve"> </w:t>
      </w:r>
      <w:r w:rsidRPr="007C46CD">
        <w:rPr>
          <w:rFonts w:ascii="Times New Roman" w:hAnsi="Times New Roman" w:cs="Times New Roman"/>
          <w:sz w:val="24"/>
          <w:lang w:val="bg-BG"/>
        </w:rPr>
        <w:t>проучвания демонстрират безопасността на продължаване на</w:t>
      </w:r>
      <w:r w:rsidR="000800DB">
        <w:rPr>
          <w:rFonts w:ascii="Times New Roman" w:hAnsi="Times New Roman" w:cs="Times New Roman"/>
          <w:sz w:val="24"/>
          <w:lang w:val="bg-BG"/>
        </w:rPr>
        <w:t xml:space="preserve"> </w:t>
      </w:r>
      <w:r w:rsidRPr="007C46CD">
        <w:rPr>
          <w:rFonts w:ascii="Times New Roman" w:hAnsi="Times New Roman" w:cs="Times New Roman"/>
          <w:sz w:val="24"/>
          <w:lang w:val="bg-BG"/>
        </w:rPr>
        <w:t>ASA по време на планова хирургия на тазобедрената става и</w:t>
      </w:r>
      <w:r w:rsidR="0011347D">
        <w:rPr>
          <w:rFonts w:ascii="Times New Roman" w:hAnsi="Times New Roman" w:cs="Times New Roman"/>
          <w:sz w:val="24"/>
          <w:lang w:val="bg-BG"/>
        </w:rPr>
        <w:t xml:space="preserve"> </w:t>
      </w:r>
      <w:r w:rsidRPr="007C46CD">
        <w:rPr>
          <w:rFonts w:ascii="Times New Roman" w:hAnsi="Times New Roman" w:cs="Times New Roman"/>
          <w:sz w:val="24"/>
          <w:lang w:val="bg-BG"/>
        </w:rPr>
        <w:t>коляното</w:t>
      </w:r>
      <w:r w:rsidRPr="007C46CD">
        <w:rPr>
          <w:rFonts w:ascii="Times New Roman" w:hAnsi="Times New Roman" w:cs="Times New Roman"/>
          <w:sz w:val="24"/>
          <w:vertAlign w:val="superscript"/>
          <w:lang w:val="bg-BG"/>
        </w:rPr>
        <w:t>11</w:t>
      </w:r>
      <w:r w:rsidRPr="007C46CD">
        <w:rPr>
          <w:rFonts w:ascii="Times New Roman" w:hAnsi="Times New Roman" w:cs="Times New Roman"/>
          <w:sz w:val="24"/>
          <w:vertAlign w:val="superscript"/>
          <w:lang w:val="en-US"/>
        </w:rPr>
        <w:t>3</w:t>
      </w:r>
      <w:r w:rsidRPr="007C46CD">
        <w:rPr>
          <w:rFonts w:ascii="Times New Roman" w:hAnsi="Times New Roman" w:cs="Times New Roman"/>
          <w:sz w:val="24"/>
          <w:vertAlign w:val="superscript"/>
          <w:lang w:val="bg-BG"/>
        </w:rPr>
        <w:t>,11</w:t>
      </w:r>
      <w:r w:rsidRPr="007C46CD">
        <w:rPr>
          <w:rFonts w:ascii="Times New Roman" w:hAnsi="Times New Roman" w:cs="Times New Roman"/>
          <w:sz w:val="24"/>
          <w:vertAlign w:val="superscript"/>
          <w:lang w:val="en-US"/>
        </w:rPr>
        <w:t>4</w:t>
      </w:r>
      <w:r w:rsidRPr="007C46CD">
        <w:rPr>
          <w:rFonts w:ascii="Times New Roman" w:hAnsi="Times New Roman" w:cs="Times New Roman"/>
          <w:sz w:val="24"/>
          <w:lang w:val="bg-BG"/>
        </w:rPr>
        <w:t>.</w:t>
      </w:r>
    </w:p>
    <w:p w:rsidR="007C46CD" w:rsidRPr="007C46CD" w:rsidRDefault="007C46CD" w:rsidP="00276280">
      <w:pPr>
        <w:spacing w:after="0" w:line="240" w:lineRule="auto"/>
        <w:ind w:firstLine="720"/>
        <w:rPr>
          <w:rFonts w:ascii="Times New Roman" w:hAnsi="Times New Roman" w:cs="Times New Roman"/>
          <w:sz w:val="24"/>
          <w:lang w:val="bg-BG"/>
        </w:rPr>
      </w:pPr>
      <w:r>
        <w:rPr>
          <w:rFonts w:ascii="Times New Roman" w:hAnsi="Times New Roman" w:cs="Times New Roman"/>
          <w:sz w:val="24"/>
          <w:lang w:val="bg-BG"/>
        </w:rPr>
        <w:t xml:space="preserve">Някои автори </w:t>
      </w:r>
      <w:r w:rsidRPr="007C46CD">
        <w:rPr>
          <w:rFonts w:ascii="Times New Roman" w:hAnsi="Times New Roman" w:cs="Times New Roman"/>
          <w:sz w:val="24"/>
          <w:lang w:val="bg-BG"/>
        </w:rPr>
        <w:t>препоръчват продължаване на</w:t>
      </w:r>
      <w:r w:rsidR="000800DB">
        <w:rPr>
          <w:rFonts w:ascii="Times New Roman" w:hAnsi="Times New Roman" w:cs="Times New Roman"/>
          <w:sz w:val="24"/>
          <w:lang w:val="bg-BG"/>
        </w:rPr>
        <w:t xml:space="preserve"> </w:t>
      </w:r>
      <w:r w:rsidRPr="007C46CD">
        <w:rPr>
          <w:rFonts w:ascii="Times New Roman" w:hAnsi="Times New Roman" w:cs="Times New Roman"/>
          <w:sz w:val="24"/>
          <w:lang w:val="bg-BG"/>
        </w:rPr>
        <w:t xml:space="preserve">приема на ASA при пациенти с умерен </w:t>
      </w:r>
      <w:r>
        <w:rPr>
          <w:rFonts w:ascii="Times New Roman" w:hAnsi="Times New Roman" w:cs="Times New Roman"/>
          <w:sz w:val="24"/>
          <w:lang w:val="bg-BG"/>
        </w:rPr>
        <w:t xml:space="preserve">или </w:t>
      </w:r>
      <w:r w:rsidRPr="007C46CD">
        <w:rPr>
          <w:rFonts w:ascii="Times New Roman" w:hAnsi="Times New Roman" w:cs="Times New Roman"/>
          <w:sz w:val="24"/>
          <w:lang w:val="bg-BG"/>
        </w:rPr>
        <w:t>висок риск от</w:t>
      </w:r>
      <w:r w:rsidR="0011347D">
        <w:rPr>
          <w:rFonts w:ascii="Times New Roman" w:hAnsi="Times New Roman" w:cs="Times New Roman"/>
          <w:sz w:val="24"/>
          <w:lang w:val="bg-BG"/>
        </w:rPr>
        <w:t xml:space="preserve"> </w:t>
      </w:r>
      <w:r w:rsidRPr="007C46CD">
        <w:rPr>
          <w:rFonts w:ascii="Times New Roman" w:hAnsi="Times New Roman" w:cs="Times New Roman"/>
          <w:sz w:val="24"/>
          <w:lang w:val="bg-BG"/>
        </w:rPr>
        <w:t>сърдечно-съдови инциденти и преустановяване</w:t>
      </w:r>
      <w:r>
        <w:rPr>
          <w:rFonts w:ascii="Times New Roman" w:hAnsi="Times New Roman" w:cs="Times New Roman"/>
          <w:sz w:val="24"/>
          <w:lang w:val="bg-BG"/>
        </w:rPr>
        <w:t xml:space="preserve">то </w:t>
      </w:r>
      <w:r w:rsidRPr="0011347D">
        <w:rPr>
          <w:rFonts w:ascii="Times New Roman" w:hAnsi="Times New Roman" w:cs="Times New Roman"/>
          <w:b/>
          <w:i/>
          <w:sz w:val="24"/>
          <w:lang w:val="bg-BG"/>
        </w:rPr>
        <w:t>му 7 до 10</w:t>
      </w:r>
      <w:r w:rsidR="000800DB">
        <w:rPr>
          <w:rFonts w:ascii="Times New Roman" w:hAnsi="Times New Roman" w:cs="Times New Roman"/>
          <w:b/>
          <w:i/>
          <w:sz w:val="24"/>
          <w:lang w:val="bg-BG"/>
        </w:rPr>
        <w:t xml:space="preserve"> </w:t>
      </w:r>
      <w:r w:rsidRPr="0011347D">
        <w:rPr>
          <w:rFonts w:ascii="Times New Roman" w:hAnsi="Times New Roman" w:cs="Times New Roman"/>
          <w:b/>
          <w:i/>
          <w:sz w:val="24"/>
          <w:lang w:val="bg-BG"/>
        </w:rPr>
        <w:t xml:space="preserve">дни </w:t>
      </w:r>
      <w:r>
        <w:rPr>
          <w:rFonts w:ascii="Times New Roman" w:hAnsi="Times New Roman" w:cs="Times New Roman"/>
          <w:sz w:val="24"/>
          <w:lang w:val="bg-BG"/>
        </w:rPr>
        <w:t xml:space="preserve">предоперативно </w:t>
      </w:r>
      <w:r w:rsidRPr="007C46CD">
        <w:rPr>
          <w:rFonts w:ascii="Times New Roman" w:hAnsi="Times New Roman" w:cs="Times New Roman"/>
          <w:sz w:val="24"/>
          <w:lang w:val="bg-BG"/>
        </w:rPr>
        <w:t>при пациенти с нисък риск</w:t>
      </w:r>
      <w:r w:rsidR="000800DB">
        <w:rPr>
          <w:rFonts w:ascii="Times New Roman" w:hAnsi="Times New Roman" w:cs="Times New Roman"/>
          <w:sz w:val="24"/>
          <w:lang w:val="bg-BG"/>
        </w:rPr>
        <w:t xml:space="preserve"> к</w:t>
      </w:r>
      <w:r w:rsidRPr="007C46CD">
        <w:rPr>
          <w:rFonts w:ascii="Times New Roman" w:hAnsi="Times New Roman" w:cs="Times New Roman"/>
          <w:sz w:val="24"/>
          <w:lang w:val="bg-BG"/>
        </w:rPr>
        <w:t xml:space="preserve">ато </w:t>
      </w:r>
      <w:r>
        <w:rPr>
          <w:rFonts w:ascii="Times New Roman" w:hAnsi="Times New Roman" w:cs="Times New Roman"/>
          <w:sz w:val="24"/>
          <w:lang w:val="bg-BG"/>
        </w:rPr>
        <w:t xml:space="preserve">изтъкват, </w:t>
      </w:r>
      <w:r w:rsidRPr="007C46CD">
        <w:rPr>
          <w:rFonts w:ascii="Times New Roman" w:hAnsi="Times New Roman" w:cs="Times New Roman"/>
          <w:sz w:val="24"/>
          <w:lang w:val="bg-BG"/>
        </w:rPr>
        <w:t xml:space="preserve">че </w:t>
      </w:r>
      <w:r>
        <w:rPr>
          <w:rFonts w:ascii="Times New Roman" w:hAnsi="Times New Roman" w:cs="Times New Roman"/>
          <w:sz w:val="24"/>
          <w:lang w:val="bg-BG"/>
        </w:rPr>
        <w:t xml:space="preserve">спирането </w:t>
      </w:r>
      <w:r w:rsidRPr="007C46CD">
        <w:rPr>
          <w:rFonts w:ascii="Times New Roman" w:hAnsi="Times New Roman" w:cs="Times New Roman"/>
          <w:sz w:val="24"/>
          <w:lang w:val="bg-BG"/>
        </w:rPr>
        <w:t>на ASA може да носи</w:t>
      </w:r>
      <w:r w:rsidR="0011347D">
        <w:rPr>
          <w:rFonts w:ascii="Times New Roman" w:hAnsi="Times New Roman" w:cs="Times New Roman"/>
          <w:sz w:val="24"/>
          <w:lang w:val="bg-BG"/>
        </w:rPr>
        <w:t xml:space="preserve"> </w:t>
      </w:r>
      <w:r w:rsidRPr="007C46CD">
        <w:rPr>
          <w:rFonts w:ascii="Times New Roman" w:hAnsi="Times New Roman" w:cs="Times New Roman"/>
          <w:sz w:val="24"/>
          <w:lang w:val="bg-BG"/>
        </w:rPr>
        <w:t xml:space="preserve">повишен риск от тромботични </w:t>
      </w:r>
      <w:r>
        <w:rPr>
          <w:rFonts w:ascii="Times New Roman" w:hAnsi="Times New Roman" w:cs="Times New Roman"/>
          <w:sz w:val="24"/>
          <w:lang w:val="bg-BG"/>
        </w:rPr>
        <w:t xml:space="preserve">инциденти </w:t>
      </w:r>
      <w:r w:rsidRPr="007C46CD">
        <w:rPr>
          <w:rFonts w:ascii="Times New Roman" w:hAnsi="Times New Roman" w:cs="Times New Roman"/>
          <w:sz w:val="24"/>
          <w:lang w:val="bg-BG"/>
        </w:rPr>
        <w:t>при пациенти</w:t>
      </w:r>
      <w:r>
        <w:rPr>
          <w:rFonts w:ascii="Times New Roman" w:hAnsi="Times New Roman" w:cs="Times New Roman"/>
          <w:sz w:val="24"/>
          <w:lang w:val="bg-BG"/>
        </w:rPr>
        <w:t>те</w:t>
      </w:r>
      <w:r w:rsidRPr="007C46CD">
        <w:rPr>
          <w:rFonts w:ascii="Times New Roman" w:hAnsi="Times New Roman" w:cs="Times New Roman"/>
          <w:sz w:val="24"/>
          <w:lang w:val="bg-BG"/>
        </w:rPr>
        <w:t xml:space="preserve"> със</w:t>
      </w:r>
    </w:p>
    <w:p w:rsidR="007C46CD" w:rsidRPr="007C46CD" w:rsidRDefault="00901AD2" w:rsidP="00276280">
      <w:pPr>
        <w:spacing w:after="0" w:line="240" w:lineRule="auto"/>
        <w:rPr>
          <w:rFonts w:ascii="Times New Roman" w:hAnsi="Times New Roman" w:cs="Times New Roman"/>
          <w:sz w:val="24"/>
          <w:lang w:val="bg-BG"/>
        </w:rPr>
      </w:pPr>
      <w:r>
        <w:rPr>
          <w:rFonts w:ascii="Times New Roman" w:hAnsi="Times New Roman" w:cs="Times New Roman"/>
          <w:sz w:val="24"/>
          <w:lang w:val="bg-BG"/>
        </w:rPr>
        <w:t>з</w:t>
      </w:r>
      <w:r w:rsidR="007C46CD">
        <w:rPr>
          <w:rFonts w:ascii="Times New Roman" w:hAnsi="Times New Roman" w:cs="Times New Roman"/>
          <w:sz w:val="24"/>
          <w:lang w:val="bg-BG"/>
        </w:rPr>
        <w:t xml:space="preserve">начими </w:t>
      </w:r>
      <w:r w:rsidR="007C46CD" w:rsidRPr="007C46CD">
        <w:rPr>
          <w:rFonts w:ascii="Times New Roman" w:hAnsi="Times New Roman" w:cs="Times New Roman"/>
          <w:sz w:val="24"/>
          <w:lang w:val="bg-BG"/>
        </w:rPr>
        <w:t>сърдечно-съдови рискови фактори</w:t>
      </w:r>
      <w:r w:rsidR="007C46CD" w:rsidRPr="007C46CD">
        <w:rPr>
          <w:rFonts w:ascii="Times New Roman" w:hAnsi="Times New Roman" w:cs="Times New Roman"/>
          <w:sz w:val="24"/>
          <w:vertAlign w:val="superscript"/>
          <w:lang w:val="bg-BG"/>
        </w:rPr>
        <w:t>11</w:t>
      </w:r>
      <w:r w:rsidR="007C46CD" w:rsidRPr="007C46CD">
        <w:rPr>
          <w:rFonts w:ascii="Times New Roman" w:hAnsi="Times New Roman" w:cs="Times New Roman"/>
          <w:sz w:val="24"/>
          <w:vertAlign w:val="superscript"/>
          <w:lang w:val="en-US"/>
        </w:rPr>
        <w:t>4</w:t>
      </w:r>
      <w:r w:rsidR="007C46CD" w:rsidRPr="007C46CD">
        <w:rPr>
          <w:rFonts w:ascii="Times New Roman" w:hAnsi="Times New Roman" w:cs="Times New Roman"/>
          <w:sz w:val="24"/>
          <w:lang w:val="bg-BG"/>
        </w:rPr>
        <w:t>.</w:t>
      </w:r>
      <w:r>
        <w:rPr>
          <w:rFonts w:ascii="Times New Roman" w:hAnsi="Times New Roman" w:cs="Times New Roman"/>
          <w:sz w:val="24"/>
          <w:lang w:val="bg-BG"/>
        </w:rPr>
        <w:t>Според други о</w:t>
      </w:r>
      <w:r w:rsidR="007C46CD" w:rsidRPr="007C46CD">
        <w:rPr>
          <w:rFonts w:ascii="Times New Roman" w:hAnsi="Times New Roman" w:cs="Times New Roman"/>
          <w:sz w:val="24"/>
          <w:lang w:val="bg-BG"/>
        </w:rPr>
        <w:t>перацията не трябва да се отлага при пациенти,</w:t>
      </w:r>
      <w:r w:rsidR="000800DB">
        <w:rPr>
          <w:rFonts w:ascii="Times New Roman" w:hAnsi="Times New Roman" w:cs="Times New Roman"/>
          <w:sz w:val="24"/>
          <w:lang w:val="bg-BG"/>
        </w:rPr>
        <w:t xml:space="preserve"> </w:t>
      </w:r>
      <w:r w:rsidR="007C46CD" w:rsidRPr="007C46CD">
        <w:rPr>
          <w:rFonts w:ascii="Times New Roman" w:hAnsi="Times New Roman" w:cs="Times New Roman"/>
          <w:sz w:val="24"/>
          <w:lang w:val="bg-BG"/>
        </w:rPr>
        <w:t>получаващи ASA, тъй като ниският риск от кървене не</w:t>
      </w:r>
    </w:p>
    <w:p w:rsidR="007C46CD" w:rsidRPr="007C46CD" w:rsidRDefault="007C46CD" w:rsidP="00276280">
      <w:pPr>
        <w:spacing w:after="0" w:line="240" w:lineRule="auto"/>
        <w:rPr>
          <w:rFonts w:ascii="Times New Roman" w:hAnsi="Times New Roman" w:cs="Times New Roman"/>
          <w:sz w:val="24"/>
          <w:lang w:val="bg-BG"/>
        </w:rPr>
      </w:pPr>
      <w:r w:rsidRPr="007C46CD">
        <w:rPr>
          <w:rFonts w:ascii="Times New Roman" w:hAnsi="Times New Roman" w:cs="Times New Roman"/>
          <w:sz w:val="24"/>
          <w:lang w:val="bg-BG"/>
        </w:rPr>
        <w:t>оправдава забавянето на операцията</w:t>
      </w:r>
      <w:r w:rsidRPr="00901AD2">
        <w:rPr>
          <w:rFonts w:ascii="Times New Roman" w:hAnsi="Times New Roman" w:cs="Times New Roman"/>
          <w:sz w:val="24"/>
          <w:vertAlign w:val="superscript"/>
          <w:lang w:val="bg-BG"/>
        </w:rPr>
        <w:t>11</w:t>
      </w:r>
      <w:r w:rsidR="00901AD2" w:rsidRPr="00901AD2">
        <w:rPr>
          <w:rFonts w:ascii="Times New Roman" w:hAnsi="Times New Roman" w:cs="Times New Roman"/>
          <w:sz w:val="24"/>
          <w:vertAlign w:val="superscript"/>
          <w:lang w:val="bg-BG"/>
        </w:rPr>
        <w:t>6</w:t>
      </w:r>
      <w:r w:rsidRPr="000800DB">
        <w:rPr>
          <w:rFonts w:ascii="Times New Roman" w:hAnsi="Times New Roman" w:cs="Times New Roman"/>
          <w:sz w:val="24"/>
          <w:vertAlign w:val="superscript"/>
          <w:lang w:val="bg-BG"/>
        </w:rPr>
        <w:t>,</w:t>
      </w:r>
      <w:r w:rsidRPr="00901AD2">
        <w:rPr>
          <w:rFonts w:ascii="Times New Roman" w:hAnsi="Times New Roman" w:cs="Times New Roman"/>
          <w:sz w:val="24"/>
          <w:vertAlign w:val="superscript"/>
          <w:lang w:val="bg-BG"/>
        </w:rPr>
        <w:t>1</w:t>
      </w:r>
      <w:r w:rsidR="00901AD2" w:rsidRPr="00901AD2">
        <w:rPr>
          <w:rFonts w:ascii="Times New Roman" w:hAnsi="Times New Roman" w:cs="Times New Roman"/>
          <w:sz w:val="24"/>
          <w:vertAlign w:val="superscript"/>
          <w:lang w:val="bg-BG"/>
        </w:rPr>
        <w:t>30</w:t>
      </w:r>
      <w:r w:rsidRPr="00901AD2">
        <w:rPr>
          <w:rFonts w:ascii="Times New Roman" w:hAnsi="Times New Roman" w:cs="Times New Roman"/>
          <w:sz w:val="24"/>
          <w:vertAlign w:val="superscript"/>
          <w:lang w:val="bg-BG"/>
        </w:rPr>
        <w:t>,1</w:t>
      </w:r>
      <w:r w:rsidR="00901AD2" w:rsidRPr="00901AD2">
        <w:rPr>
          <w:rFonts w:ascii="Times New Roman" w:hAnsi="Times New Roman" w:cs="Times New Roman"/>
          <w:sz w:val="24"/>
          <w:vertAlign w:val="superscript"/>
          <w:lang w:val="bg-BG"/>
        </w:rPr>
        <w:t>31</w:t>
      </w:r>
      <w:r w:rsidRPr="007C46CD">
        <w:rPr>
          <w:rFonts w:ascii="Times New Roman" w:hAnsi="Times New Roman" w:cs="Times New Roman"/>
          <w:sz w:val="24"/>
          <w:lang w:val="bg-BG"/>
        </w:rPr>
        <w:t>. ASRA също препоръчва продължаване на ASA</w:t>
      </w:r>
      <w:r w:rsidR="0011347D">
        <w:rPr>
          <w:rFonts w:ascii="Times New Roman" w:hAnsi="Times New Roman" w:cs="Times New Roman"/>
          <w:sz w:val="24"/>
          <w:lang w:val="bg-BG"/>
        </w:rPr>
        <w:t xml:space="preserve"> </w:t>
      </w:r>
      <w:r w:rsidR="00901AD2" w:rsidRPr="007C46CD">
        <w:rPr>
          <w:rFonts w:ascii="Times New Roman" w:hAnsi="Times New Roman" w:cs="Times New Roman"/>
          <w:sz w:val="24"/>
          <w:lang w:val="bg-BG"/>
        </w:rPr>
        <w:t>преди</w:t>
      </w:r>
      <w:r w:rsidR="0011347D">
        <w:rPr>
          <w:rFonts w:ascii="Times New Roman" w:hAnsi="Times New Roman" w:cs="Times New Roman"/>
          <w:sz w:val="24"/>
          <w:lang w:val="bg-BG"/>
        </w:rPr>
        <w:t xml:space="preserve"> </w:t>
      </w:r>
      <w:r w:rsidR="00901AD2" w:rsidRPr="007C46CD">
        <w:rPr>
          <w:rFonts w:ascii="Times New Roman" w:hAnsi="Times New Roman" w:cs="Times New Roman"/>
          <w:sz w:val="24"/>
          <w:lang w:val="bg-BG"/>
        </w:rPr>
        <w:t>невроаксиални процедури</w:t>
      </w:r>
      <w:r w:rsidRPr="007C46CD">
        <w:rPr>
          <w:rFonts w:ascii="Times New Roman" w:hAnsi="Times New Roman" w:cs="Times New Roman"/>
          <w:sz w:val="24"/>
          <w:lang w:val="bg-BG"/>
        </w:rPr>
        <w:t>,</w:t>
      </w:r>
      <w:r w:rsidR="000800DB">
        <w:rPr>
          <w:rFonts w:ascii="Times New Roman" w:hAnsi="Times New Roman" w:cs="Times New Roman"/>
          <w:sz w:val="24"/>
          <w:lang w:val="bg-BG"/>
        </w:rPr>
        <w:t xml:space="preserve"> </w:t>
      </w:r>
      <w:r w:rsidRPr="007C46CD">
        <w:rPr>
          <w:rFonts w:ascii="Times New Roman" w:hAnsi="Times New Roman" w:cs="Times New Roman"/>
          <w:sz w:val="24"/>
          <w:lang w:val="bg-BG"/>
        </w:rPr>
        <w:t>независимо от дозировката или индикацията, цитирайки множество</w:t>
      </w:r>
      <w:r w:rsidR="0011347D">
        <w:rPr>
          <w:rFonts w:ascii="Times New Roman" w:hAnsi="Times New Roman" w:cs="Times New Roman"/>
          <w:sz w:val="24"/>
          <w:lang w:val="bg-BG"/>
        </w:rPr>
        <w:t xml:space="preserve"> </w:t>
      </w:r>
      <w:r w:rsidRPr="007C46CD">
        <w:rPr>
          <w:rFonts w:ascii="Times New Roman" w:hAnsi="Times New Roman" w:cs="Times New Roman"/>
          <w:sz w:val="24"/>
          <w:lang w:val="bg-BG"/>
        </w:rPr>
        <w:t>проучвания, демонстриращи, че ASA не повишава значително</w:t>
      </w:r>
    </w:p>
    <w:p w:rsidR="007C46CD" w:rsidRDefault="007C46CD" w:rsidP="00276280">
      <w:pPr>
        <w:spacing w:after="0" w:line="240" w:lineRule="auto"/>
        <w:rPr>
          <w:rFonts w:ascii="Times New Roman" w:hAnsi="Times New Roman" w:cs="Times New Roman"/>
          <w:sz w:val="24"/>
          <w:lang w:val="bg-BG"/>
        </w:rPr>
      </w:pPr>
      <w:r w:rsidRPr="007C46CD">
        <w:rPr>
          <w:rFonts w:ascii="Times New Roman" w:hAnsi="Times New Roman" w:cs="Times New Roman"/>
          <w:sz w:val="24"/>
          <w:lang w:val="bg-BG"/>
        </w:rPr>
        <w:t>риска от гръбначни хемато</w:t>
      </w:r>
      <w:r w:rsidR="00901AD2">
        <w:rPr>
          <w:rFonts w:ascii="Times New Roman" w:hAnsi="Times New Roman" w:cs="Times New Roman"/>
          <w:sz w:val="24"/>
          <w:lang w:val="bg-BG"/>
        </w:rPr>
        <w:t>ми след невроаксиални блокове</w:t>
      </w:r>
      <w:r w:rsidR="00901AD2" w:rsidRPr="00901AD2">
        <w:rPr>
          <w:rFonts w:ascii="Times New Roman" w:hAnsi="Times New Roman" w:cs="Times New Roman"/>
          <w:sz w:val="24"/>
          <w:vertAlign w:val="superscript"/>
          <w:lang w:val="bg-BG"/>
        </w:rPr>
        <w:t>128</w:t>
      </w:r>
      <w:r w:rsidRPr="007C46CD">
        <w:rPr>
          <w:rFonts w:ascii="Times New Roman" w:hAnsi="Times New Roman" w:cs="Times New Roman"/>
          <w:sz w:val="24"/>
          <w:lang w:val="bg-BG"/>
        </w:rPr>
        <w:t>.</w:t>
      </w:r>
    </w:p>
    <w:p w:rsidR="00276280" w:rsidRPr="007C46CD" w:rsidRDefault="00276280" w:rsidP="00276280">
      <w:pPr>
        <w:spacing w:after="0" w:line="240" w:lineRule="auto"/>
        <w:rPr>
          <w:rFonts w:ascii="Times New Roman" w:hAnsi="Times New Roman" w:cs="Times New Roman"/>
          <w:sz w:val="24"/>
          <w:lang w:val="bg-BG"/>
        </w:rPr>
      </w:pPr>
    </w:p>
    <w:p w:rsidR="008732C1" w:rsidRDefault="00901AD2" w:rsidP="00276280">
      <w:pPr>
        <w:spacing w:after="0" w:line="240" w:lineRule="auto"/>
        <w:ind w:firstLine="720"/>
        <w:rPr>
          <w:rFonts w:ascii="Times New Roman" w:hAnsi="Times New Roman" w:cs="Times New Roman"/>
          <w:sz w:val="24"/>
          <w:lang w:val="bg-BG"/>
        </w:rPr>
      </w:pPr>
      <w:r w:rsidRPr="00901AD2">
        <w:rPr>
          <w:rFonts w:ascii="Times New Roman" w:hAnsi="Times New Roman" w:cs="Times New Roman"/>
          <w:i/>
          <w:sz w:val="24"/>
          <w:lang w:val="bg-BG"/>
        </w:rPr>
        <w:t>Клопидогрел</w:t>
      </w:r>
      <w:r w:rsidRPr="00901AD2">
        <w:rPr>
          <w:rFonts w:ascii="Times New Roman" w:hAnsi="Times New Roman" w:cs="Times New Roman"/>
          <w:sz w:val="24"/>
          <w:lang w:val="bg-BG"/>
        </w:rPr>
        <w:t>: American College of Chest</w:t>
      </w:r>
      <w:r w:rsidR="000800DB">
        <w:rPr>
          <w:rFonts w:ascii="Times New Roman" w:hAnsi="Times New Roman" w:cs="Times New Roman"/>
          <w:sz w:val="24"/>
          <w:lang w:val="bg-BG"/>
        </w:rPr>
        <w:t xml:space="preserve"> </w:t>
      </w:r>
      <w:r w:rsidRPr="00901AD2">
        <w:rPr>
          <w:rFonts w:ascii="Times New Roman" w:hAnsi="Times New Roman" w:cs="Times New Roman"/>
          <w:sz w:val="24"/>
          <w:lang w:val="bg-BG"/>
        </w:rPr>
        <w:t xml:space="preserve">Physicians (ACCP) препоръчва спиране </w:t>
      </w:r>
      <w:r w:rsidRPr="00057616">
        <w:rPr>
          <w:rFonts w:ascii="Times New Roman" w:hAnsi="Times New Roman" w:cs="Times New Roman"/>
          <w:b/>
          <w:i/>
          <w:sz w:val="24"/>
          <w:lang w:val="bg-BG"/>
        </w:rPr>
        <w:t>на</w:t>
      </w:r>
      <w:r w:rsidR="000800DB">
        <w:rPr>
          <w:rFonts w:ascii="Times New Roman" w:hAnsi="Times New Roman" w:cs="Times New Roman"/>
          <w:b/>
          <w:i/>
          <w:sz w:val="24"/>
          <w:lang w:val="bg-BG"/>
        </w:rPr>
        <w:t xml:space="preserve"> </w:t>
      </w:r>
      <w:r w:rsidRPr="00057616">
        <w:rPr>
          <w:rFonts w:ascii="Times New Roman" w:hAnsi="Times New Roman" w:cs="Times New Roman"/>
          <w:b/>
          <w:i/>
          <w:sz w:val="24"/>
          <w:lang w:val="bg-BG"/>
        </w:rPr>
        <w:t>клопидогрел 5 дни</w:t>
      </w:r>
      <w:r w:rsidRPr="00901AD2">
        <w:rPr>
          <w:rFonts w:ascii="Times New Roman" w:hAnsi="Times New Roman" w:cs="Times New Roman"/>
          <w:sz w:val="24"/>
          <w:lang w:val="bg-BG"/>
        </w:rPr>
        <w:t xml:space="preserve"> преди операция</w:t>
      </w:r>
      <w:r w:rsidRPr="006519A1">
        <w:rPr>
          <w:rFonts w:ascii="Times New Roman" w:hAnsi="Times New Roman" w:cs="Times New Roman"/>
          <w:sz w:val="24"/>
          <w:vertAlign w:val="superscript"/>
          <w:lang w:val="en-US"/>
        </w:rPr>
        <w:t>1</w:t>
      </w:r>
      <w:r w:rsidR="006519A1" w:rsidRPr="006519A1">
        <w:rPr>
          <w:rFonts w:ascii="Times New Roman" w:hAnsi="Times New Roman" w:cs="Times New Roman"/>
          <w:sz w:val="24"/>
          <w:vertAlign w:val="superscript"/>
          <w:lang w:val="en-US"/>
        </w:rPr>
        <w:t>19</w:t>
      </w:r>
      <w:r w:rsidRPr="00901AD2">
        <w:rPr>
          <w:rFonts w:ascii="Times New Roman" w:hAnsi="Times New Roman" w:cs="Times New Roman"/>
          <w:sz w:val="24"/>
          <w:lang w:val="bg-BG"/>
        </w:rPr>
        <w:t xml:space="preserve">. ASRA </w:t>
      </w:r>
      <w:r>
        <w:rPr>
          <w:rFonts w:ascii="Times New Roman" w:hAnsi="Times New Roman" w:cs="Times New Roman"/>
          <w:sz w:val="24"/>
          <w:lang w:val="bg-BG"/>
        </w:rPr>
        <w:t xml:space="preserve">също </w:t>
      </w:r>
      <w:r w:rsidRPr="00901AD2">
        <w:rPr>
          <w:rFonts w:ascii="Times New Roman" w:hAnsi="Times New Roman" w:cs="Times New Roman"/>
          <w:sz w:val="24"/>
          <w:lang w:val="bg-BG"/>
        </w:rPr>
        <w:t>препоръчва спиране на</w:t>
      </w:r>
      <w:r w:rsidR="00057616">
        <w:rPr>
          <w:rFonts w:ascii="Times New Roman" w:hAnsi="Times New Roman" w:cs="Times New Roman"/>
          <w:sz w:val="24"/>
          <w:lang w:val="bg-BG"/>
        </w:rPr>
        <w:t xml:space="preserve"> </w:t>
      </w:r>
      <w:r w:rsidRPr="00901AD2">
        <w:rPr>
          <w:rFonts w:ascii="Times New Roman" w:hAnsi="Times New Roman" w:cs="Times New Roman"/>
          <w:sz w:val="24"/>
          <w:lang w:val="bg-BG"/>
        </w:rPr>
        <w:t>клопидогрел 5 дни преди невроаксиални процедури. SIGN препоръчва</w:t>
      </w:r>
      <w:r w:rsidR="000800DB">
        <w:rPr>
          <w:rFonts w:ascii="Times New Roman" w:hAnsi="Times New Roman" w:cs="Times New Roman"/>
          <w:sz w:val="24"/>
          <w:lang w:val="bg-BG"/>
        </w:rPr>
        <w:t xml:space="preserve"> </w:t>
      </w:r>
      <w:r w:rsidRPr="00901AD2">
        <w:rPr>
          <w:rFonts w:ascii="Times New Roman" w:hAnsi="Times New Roman" w:cs="Times New Roman"/>
          <w:sz w:val="24"/>
          <w:lang w:val="bg-BG"/>
        </w:rPr>
        <w:t>операцията да не се отлага и да не се прилага</w:t>
      </w:r>
      <w:r w:rsidR="000800DB">
        <w:rPr>
          <w:rFonts w:ascii="Times New Roman" w:hAnsi="Times New Roman" w:cs="Times New Roman"/>
          <w:sz w:val="24"/>
          <w:lang w:val="bg-BG"/>
        </w:rPr>
        <w:t xml:space="preserve"> </w:t>
      </w:r>
      <w:r w:rsidRPr="00901AD2">
        <w:rPr>
          <w:rFonts w:ascii="Times New Roman" w:hAnsi="Times New Roman" w:cs="Times New Roman"/>
          <w:sz w:val="24"/>
          <w:lang w:val="bg-BG"/>
        </w:rPr>
        <w:t>профилактично</w:t>
      </w:r>
      <w:r>
        <w:rPr>
          <w:rFonts w:ascii="Times New Roman" w:hAnsi="Times New Roman" w:cs="Times New Roman"/>
          <w:sz w:val="24"/>
          <w:lang w:val="bg-BG"/>
        </w:rPr>
        <w:t xml:space="preserve"> тромбоцитна маса</w:t>
      </w:r>
      <w:r w:rsidRPr="00901AD2">
        <w:rPr>
          <w:rFonts w:ascii="Times New Roman" w:hAnsi="Times New Roman" w:cs="Times New Roman"/>
          <w:sz w:val="24"/>
          <w:lang w:val="bg-BG"/>
        </w:rPr>
        <w:t>, въпреки че трябва да се очаква незначително</w:t>
      </w:r>
      <w:r w:rsidR="000800DB">
        <w:rPr>
          <w:rFonts w:ascii="Times New Roman" w:hAnsi="Times New Roman" w:cs="Times New Roman"/>
          <w:sz w:val="24"/>
          <w:lang w:val="bg-BG"/>
        </w:rPr>
        <w:t xml:space="preserve"> </w:t>
      </w:r>
      <w:r w:rsidRPr="00901AD2">
        <w:rPr>
          <w:rFonts w:ascii="Times New Roman" w:hAnsi="Times New Roman" w:cs="Times New Roman"/>
          <w:sz w:val="24"/>
          <w:lang w:val="bg-BG"/>
        </w:rPr>
        <w:t>по-голяма загуба на кръв. Антиагрегантният ефект на клопидогрел може да бъде</w:t>
      </w:r>
      <w:r w:rsidR="00057616">
        <w:rPr>
          <w:rFonts w:ascii="Times New Roman" w:hAnsi="Times New Roman" w:cs="Times New Roman"/>
          <w:sz w:val="24"/>
          <w:lang w:val="bg-BG"/>
        </w:rPr>
        <w:t xml:space="preserve"> </w:t>
      </w:r>
      <w:r w:rsidRPr="00901AD2">
        <w:rPr>
          <w:rFonts w:ascii="Times New Roman" w:hAnsi="Times New Roman" w:cs="Times New Roman"/>
          <w:sz w:val="24"/>
          <w:lang w:val="bg-BG"/>
        </w:rPr>
        <w:t>преодолян само с трансфузи</w:t>
      </w:r>
      <w:r>
        <w:rPr>
          <w:rFonts w:ascii="Times New Roman" w:hAnsi="Times New Roman" w:cs="Times New Roman"/>
          <w:sz w:val="24"/>
          <w:lang w:val="bg-BG"/>
        </w:rPr>
        <w:t>я</w:t>
      </w:r>
      <w:r w:rsidRPr="00901AD2">
        <w:rPr>
          <w:rFonts w:ascii="Times New Roman" w:hAnsi="Times New Roman" w:cs="Times New Roman"/>
          <w:sz w:val="24"/>
          <w:lang w:val="bg-BG"/>
        </w:rPr>
        <w:t xml:space="preserve"> на</w:t>
      </w:r>
      <w:r>
        <w:rPr>
          <w:rFonts w:ascii="Times New Roman" w:hAnsi="Times New Roman" w:cs="Times New Roman"/>
          <w:sz w:val="24"/>
          <w:lang w:val="bg-BG"/>
        </w:rPr>
        <w:t xml:space="preserve"> тромбоцитна маса,</w:t>
      </w:r>
      <w:r w:rsidRPr="00901AD2">
        <w:rPr>
          <w:rFonts w:ascii="Times New Roman" w:hAnsi="Times New Roman" w:cs="Times New Roman"/>
          <w:sz w:val="24"/>
          <w:lang w:val="bg-BG"/>
        </w:rPr>
        <w:t xml:space="preserve"> тъй като клопидогрелът инхибира необратимо</w:t>
      </w:r>
      <w:r>
        <w:rPr>
          <w:rFonts w:ascii="Times New Roman" w:hAnsi="Times New Roman" w:cs="Times New Roman"/>
          <w:sz w:val="24"/>
          <w:lang w:val="bg-BG"/>
        </w:rPr>
        <w:t xml:space="preserve"> тромбоцитната агрегация </w:t>
      </w:r>
      <w:r w:rsidRPr="00901AD2">
        <w:rPr>
          <w:rFonts w:ascii="Times New Roman" w:hAnsi="Times New Roman" w:cs="Times New Roman"/>
          <w:sz w:val="24"/>
          <w:lang w:val="bg-BG"/>
        </w:rPr>
        <w:t xml:space="preserve">и няма </w:t>
      </w:r>
      <w:r>
        <w:rPr>
          <w:rFonts w:ascii="Times New Roman" w:hAnsi="Times New Roman" w:cs="Times New Roman"/>
          <w:sz w:val="24"/>
          <w:lang w:val="bg-BG"/>
        </w:rPr>
        <w:t>антидот</w:t>
      </w:r>
      <w:r w:rsidRPr="00901AD2">
        <w:rPr>
          <w:rFonts w:ascii="Times New Roman" w:hAnsi="Times New Roman" w:cs="Times New Roman"/>
          <w:sz w:val="24"/>
          <w:lang w:val="bg-BG"/>
        </w:rPr>
        <w:t xml:space="preserve">. </w:t>
      </w:r>
    </w:p>
    <w:p w:rsidR="008732C1" w:rsidRDefault="008732C1">
      <w:pPr>
        <w:rPr>
          <w:rFonts w:ascii="Times New Roman" w:hAnsi="Times New Roman" w:cs="Times New Roman"/>
          <w:sz w:val="24"/>
          <w:lang w:val="bg-BG"/>
        </w:rPr>
      </w:pPr>
      <w:r>
        <w:rPr>
          <w:rFonts w:ascii="Times New Roman" w:hAnsi="Times New Roman" w:cs="Times New Roman"/>
          <w:sz w:val="24"/>
          <w:lang w:val="bg-BG"/>
        </w:rPr>
        <w:br w:type="page"/>
      </w:r>
    </w:p>
    <w:p w:rsidR="008732C1" w:rsidRPr="001B340B" w:rsidRDefault="008732C1" w:rsidP="008732C1">
      <w:pPr>
        <w:spacing w:line="240" w:lineRule="auto"/>
        <w:ind w:left="360"/>
        <w:rPr>
          <w:rFonts w:ascii="Times New Roman" w:hAnsi="Times New Roman" w:cs="Times New Roman"/>
          <w:b/>
          <w:sz w:val="24"/>
          <w:u w:val="single"/>
          <w:lang w:val="bg-BG"/>
        </w:rPr>
      </w:pPr>
      <w:r>
        <w:rPr>
          <w:rFonts w:ascii="Times New Roman" w:hAnsi="Times New Roman" w:cs="Times New Roman"/>
          <w:b/>
          <w:sz w:val="24"/>
          <w:u w:val="single"/>
          <w:lang w:val="bg-BG"/>
        </w:rPr>
        <w:lastRenderedPageBreak/>
        <w:t xml:space="preserve">6. </w:t>
      </w:r>
      <w:r w:rsidRPr="001B340B">
        <w:rPr>
          <w:rFonts w:ascii="Times New Roman" w:hAnsi="Times New Roman" w:cs="Times New Roman"/>
          <w:b/>
          <w:sz w:val="24"/>
          <w:u w:val="single"/>
          <w:lang w:val="bg-BG"/>
        </w:rPr>
        <w:t>Литература</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Guy W Soo Hoo. Overview and assessment of risk factors for pulmonary embolism. Expert Rev. Respir. Med. 7(2), 171–191 (2013)</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Silverstein MD, Heit JA, Mohr DN, Petterson TM, O’Fallon WM, Melton LJ 3rd. Trends in the incidence of deep vein thrombosis and pulmonary embolism: a 25-year population-based study. Arch. Intern. Med. 158(6), 585–593 (1998).</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Stein PD, Matta F. Epidemiology and incidence: the scope of the problem and risk factors for development of venous thromboembolism. Crit. Care Clin. 27(4), 907–932, vii (2011).</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Blom JW, Doggen CJ, Osanto S, Rosendaal FR. Malignancies, prothrombotic mutations, and the risk of venous thrombosis. JAMA 293(6), 715–722 (2005).</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Chew HK, Wun T, Harvey D, Zhou H, White RH. Incidence of venous thromboembolism and its effect on survival among patients with common cancers. Arch. Intern. Med. 166(4), 458–464 (2006).</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Ahlbrecht J, Dickmann B, Ay C et al. Tumor grade is associated with venous thromboembolism in patients with cancer: results from the Vienna Cancer and Thrombosis Study. J. Clin. Oncol. 30(31), 3870–3875 (2012).</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Blom JW, Doggen CJ, Osanto S, Rosendaal FR. Malignancies, prothrombotic mutations, and the risk of venous thrombosis. JAMA 293(6), 715–722 (2005).</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Heit JA, Kobbervig CE, James AH, Petterson TM, Bailey KR, Melton LJ 3rd. Trends in the incidence of venous thromboembolism during pregnancy or postpartum: a 30-year population-based study. Ann. Intern. Med. 143(10), 697–706 (2005).</w:t>
      </w:r>
    </w:p>
    <w:p w:rsidR="008732C1" w:rsidRPr="0071705B" w:rsidRDefault="008732C1" w:rsidP="008732C1">
      <w:pPr>
        <w:pStyle w:val="ListParagraph"/>
        <w:numPr>
          <w:ilvl w:val="0"/>
          <w:numId w:val="3"/>
        </w:numPr>
        <w:spacing w:line="240" w:lineRule="auto"/>
        <w:rPr>
          <w:rFonts w:ascii="Times New Roman" w:hAnsi="Times New Roman" w:cs="Times New Roman"/>
          <w:sz w:val="24"/>
          <w:lang w:val="bg-BG"/>
        </w:rPr>
      </w:pPr>
      <w:r w:rsidRPr="0071705B">
        <w:rPr>
          <w:rFonts w:ascii="Times New Roman" w:hAnsi="Times New Roman" w:cs="Times New Roman"/>
          <w:sz w:val="24"/>
          <w:lang w:val="bg-BG"/>
        </w:rPr>
        <w:t>James AH. Venous thromboembolism in pregnancy. Arterioscler. Thromb. Vasc. Biol. 29(3), 326–331 (2009).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James AH, Jamison MG, Brancazio LR, Myers ER. Venous thromboembolism during pregnancy and the postpartum period: incidence, risk factors, and mortality. Am. J. Obstet. Gynecol. 194(5), 1311–1315 (2006).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color w:val="212121"/>
          <w:sz w:val="24"/>
          <w:szCs w:val="24"/>
          <w:shd w:val="clear" w:color="auto" w:fill="FFFFFF"/>
          <w:lang w:val="bg-BG"/>
        </w:rPr>
        <w:t>Willis R, Pierangeli SS. Pathophysiology of the antiphospholipid antibody syndrome. Auto Immun Highlights. 2011 Mar 24;2(2):35-52.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Lim W, Crowther MA, Eikelboom JW Management of antiphospholipid antibody syndrome: a systematic review. JAMA 295(9), 1050–1057 (2006).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Rosove MH, Brewer PM. Antiphospholipid thrombosis: clinical course after the first thrombotic event in 70 patients. Ann. Intern. Med. 117(4), 303–308 (1992).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Farmer RD, Lawrenson RA, Thompson CR, Kennedy JG, Hambleton IR. Population-based study of risk of venous thromboembolism associated with various oral contraceptives. Lancet 349(9045), 83–88 (1997).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Jick H, Kaye JA, Vasilakis-Scaramozza C, Jick SS. Risk of venous hromboembolism among users of third generation oral contraceptives compared with users of oral contraceptives with levonorgestrel before and after 1995: cohort and case–control analysis. BMJ 321(7270), 1190–1195 (2000).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Vessey M, Mant D, Smith A, Yeates D. Oral contraceptives and venous thromboembolism: findings in a large prospective study. Br. Med. J. (Clin. Res. Ed). 292(6519), 526 (1986).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Rossouw JE, Anderson GL, Prentice RL et al.; Writing Group for the Women’s Health Initiative Investigators. Risks and benefits of estrogen plus progestin in healthy postmenopausal women: principal results from the Women’s Health Initiative randomized controlled trial. JAMA 288(3), 321–333 (2002).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Cushman M, Kuller LH, Prentice R et al.; Women’s Health Initiative Investigators. Estrogen plus progestin and risk of venous thrombosis. JAMA 292(13), 1573–1580 (2004).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Osman K, Comenzo R, Rajkumar SV. Deep venous thrombosis and thalidomide therapy for multiple myeloma. N. Engl. J. Med. 344(25), 1951–1952 (2001).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Knight R, DeLap RJ, Zeldis JB. Lenalidomide and venous thrombosis in multiple myeloma. N. Engl. J. Med. 354(19), 2079–2080 (2006).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Zangari M, Barlogie B, Thertulien R et al. Thalidomide and deep vein thrombosis in multiple myeloma: risk factors and effect on survival. Clin. Lymphoma 4(1), 32–35 (2003).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Crinò L, Dansin E, Garrido P et al. Safety and efficacy of first-line bevacizumab-based therapy in advanced non-squamous non-small-cell lung cancer (SAiL, MO19390): a Phase 4 study. Lancet Oncol. 11(8), 733–740 (2010).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Bennett CL, Silver SM, Djulbegovic B et al. Venous thromboembolism and mortality associated with recombinant erythropoietin and darbepoetin administration for the treatment of cancer-associated anemia. JAMA 299(8), 914–924 (2008).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Zornberg GL, Jick H. Antipsychotic drug use and risk of first-time idiopathic venous thromboembolism: a case-control study. Lancet 356(9237), 1219–1223 (2000).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Chapelle C, Quenet S, Delavenne X et al. Antipsychotics: a real or confounding risk factor for venous thromboembolism?</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Eichinger S, Hron G, Bialonczyk C et al. Overweight, obesity, and the risk of recurrent venous thromboembolism. Arch. Intern. Med. 168(15), 1678–1683 (2008).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Allman-Farinelli MA. Obesity and venous thrombosis: a review. Semin. Thromb. Hemost. 37(8), 903–907 (2011).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Kato S, Chernyavsky S, Tokita JE et al. Relationship between proteinuria and venous thromboembolism. J. Thromb. Thrombolysis 30(3), 281–285 (2010).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Lionaki S, Derebail VK, Hogan SL et al. Venous thromboembolism in patients with membranous nephropathy. Clin. J. Am. Soc. Nephrol. 7(1), 43–51 (2012).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Libby P. Multiple mechanisms of thrombosis complicating atherosclerotic plaques. Clin. Cardiol. 23(Suppl. 6), VI3–VI7 (2000).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Sueishi K, Ichikawa K, Kato K, Nakagawa K, Chen YX. Atherosclerosis: coagulation and fibrinolysis. Semin. Thromb. Hemost. 24(3), 255–260 (1998).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FitzGerald GA, Tigges J, Barry P, Lawson JA. Markers of platelet activation and oxidant stress in atherothrombotic disease. Thromb. Haemost. 78(1), 280–284 (1997).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Nicolaides AN, Kakkar VV, Field ES, Fish P. Venous stasis and deep-vein thrombosis. Br. J. Surg. 59(9), 713–717 (1972).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Hansson PO, Sörbo J, Eriksson H. Recurrent venous thromboembolism after deep vein thrombosis: incidence and risk factors. Arch. Intern. Med. 160(6), 769–774 (2000).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Heit JA, Mohr DN, Silverstein MD, Petterson TM, O’Fallon WM, Melton LJ 3rd. Predictors of recurrence after deep vein thrombosis and pulmonary embolism: a population-based cohort study. Arch. Intern. Med. 160(6), 761–768 (2000).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Sourmelis SV. Guidelines for Prevention of Deep Vein Thrombosis in Orthopaedics. Athens: HAOST; 2009.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Leme LE, Sguizzatto GT. Prophylaxis of venous thromboembolism in orthopaedic surgery. Rev Bras Ortop 2015;47:685-693.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Davis P. Venous thromboembolism prevention–an update. J Orthop Nurs 2004;8:50-56.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Geerts WH, Pineo GF, Heit JA, et al. Prevention of venous thromboembolism: the Seventh ACCP Conference on Antithrombotic and Thrombolytic Therapy. Chest 2004;126(suppl):338S-400S.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Hoenig H, Rubenstein LV, Sloane R, Horner R, Kahn K. What is the role of timing in the surgical and rehabilitative care of community-dwelling older persons with acute hip fracture? Arch Intern Med 1997;157:513-520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Geerts WH, Bergqvist D, Pineo GF, et al. Prevention of venous thromboembolism: American College of Chest Physicians evidence-based clinical practice guidelines (8th Edition). Chest 2008;133:381S-453S.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Falck-Ytter Y, Francis CW, Johanson NA, et al. Prevention of VTE in orthopedic surgery patients: Antithrombotic therapy and prevention of thrombosis, 9th ed: American College of Chest Physicians evidence-based clinical practice guidelines. Chest 2012;141:e278Se325S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Scottish Intercollegiate Guidelines Network (SIGN). Prevention and management of venous thromboembolism. SIGN publication no. 122. Edinburgh: SIGN; 2010.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Ansell J, Hirsh J, Hylek E, et al. Pharmacology and management of the vitamin K antagonists: American College of Chest Physicians evidence-based clinical practice guidelines (8th edition). Chest 2008;133:160S-98S.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Garcia DA, Baglin TP, Weitz JI, Samama MM. Parenteral anticoagulants: antithrombotic therapy and prevention of thrombosis, 9th ed: American College of Chest Physicians evidence-based clinical practice guidelines. Chest 2012;141:e24S-e43S.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Hirsh J, Dalen J, Anderson DR, et al. Oral anticoagulants: mechanism of action, clinical effectiveness, and optimal therapeutic range. Chest 2001;119(suppl):8S-21S.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Palmer AJ, Koppenhagen K, Kirchhof B, Weber U, Bergemann R. Efficacy and safety of low molecular weight heparin, unfractionated heparin and warfarin for thrombo-embolism prophylaxis in orthopaedic surgery: a meta-analysis of randomised clinical trials. Haemostasis 1997;27:75-84.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Westrich GH, Haas SB, Mosca P, Peterson M. Meta-analysis of thromboembolic prophylaxis after total knee arthroplasty. J Bone Joint Surg [Br] 2000;82-B: 795-800.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Brookenthal KR, Freedman KB, Lotke PA, Fitzgerald RH, Lonner JH. A meta-analysis of thromboembolic prophylaxis in total knee arthroplasty. J Arthroplasty 2001;16:293-300.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Handoll HH, Farrar MJ, McBirnie J, et al. Heparin, low molecular weight heparin and physical methods for preventing deep vein thrombosis and pulmonary embolism following surgery for hip fractures. Cochrane Database Syst Rev 2002;(4):CD000305.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Mismetti P, Laporte S, Zufferey P, et al. Prevention of venous thromboembolism in orthopedic surgery with vitamin K antagonists: a meta-analysis. J Thromb Haemost 2004;2:1058-1070.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Shorr AF, Kwong LM, Sarnes M, et al. Venous thromboembolism after orthopedic surgery: implications of the choice for prophylaxis. Thromb Res 2007;121:17-24.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Kubitza D, Berkowitz SD, Misselwitz F. Evidence-Based Development and Rationale for Once-Daily Rivaroxaban Dosing Regimens Across Multiple Indications. Clin Appl Thromb Hemost 2016;22:412-422.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Eriksson BI, Dahl OE, Büller HR, et al; BISTRO II Study Group. A new oral direct thrombin inhibitor, dabigatran etexilate, compared with enoxaparin for prevention of thromboembolic events following total hip or knee replacement: the BISTRO II randomized trial. J Thromb Haemost 2005;3:103-111.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Eriksson BI, Dahl OE, Rosencher N, et al; RE-MODEL Study Group. Oral dabigatran etexilate vs. subcutaneous enoxaparin for the prevention of venous thromboembolism after total knee replacement: the RE-MODEL randomized trial. J Thromb Haemost 2007;5:2178-2185.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Lassen MR, Raskob GE, Gallus A, et al. Apixaban or enoxaparin for thromboprophylaxis after knee replacement. N Engl J Med 2009;361:594-604.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Lassen MR, Raskob GE, Gallus A, et al; ADVANCE-2 investigators. Apixaban versus enoxaparin for thromboprophylaxis after knee replacement (ADVANCE-2): a randomised double-blind trial. Lancet 2010;375:807-815.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Lassen MR, Gallus A, Raskob GE, et al; ADVANCE-3 Investigators. Apixaban versus enoxaparin for thromboprophylaxis after hip replacement. N Engl J Med 2010;363:2487-2498.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Ramos J, Perrotta C, Badariotti G, Berenstein G. Interventions for preventing venous thromboembolism in adults undergoing knee arthroscopy. Cochrane Database Syst Rev 2008;(4):CD005259.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Mauck KF, Froehling DA, Daniels PR, et al. Incidence of venous thromboembolism after elective knee arthroscopic surgery: a historical cohort study. J Thromb Haemost 2013;11:1279-1286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Camporese G, Bernardi E, Prandoni P, et al; KANT (Knee Arthroscopy Nadroparin Thromboprophylaxis) Study Group. Low-molecular-weight heparin versus compression stockings for thromboprophylaxis after knee arthroscopy: a randomized trial. Ann Intern Med 2008;149:73-82</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6" w:history="1">
        <w:r w:rsidR="008732C1" w:rsidRPr="0071705B">
          <w:rPr>
            <w:rStyle w:val="Hyperlink"/>
            <w:rFonts w:ascii="Times New Roman" w:hAnsi="Times New Roman" w:cs="Times New Roman"/>
            <w:sz w:val="24"/>
            <w:szCs w:val="24"/>
            <w:lang w:val="bg-BG"/>
          </w:rPr>
          <w:t>http://www.medicine.bg/public/listovka/27341d.pdf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Fraxiparin</w:t>
      </w:r>
      <w:r w:rsidR="008732C1" w:rsidRPr="0071705B">
        <w:rPr>
          <w:rFonts w:ascii="Times New Roman" w:hAnsi="Times New Roman" w:cs="Times New Roman"/>
          <w:sz w:val="24"/>
          <w:szCs w:val="24"/>
          <w:lang w:val="bg-BG"/>
        </w:rPr>
        <w:t>)</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7" w:history="1">
        <w:r w:rsidR="008732C1" w:rsidRPr="0071705B">
          <w:rPr>
            <w:rStyle w:val="Hyperlink"/>
            <w:rFonts w:ascii="Times New Roman" w:hAnsi="Times New Roman" w:cs="Times New Roman"/>
            <w:sz w:val="24"/>
            <w:szCs w:val="24"/>
            <w:lang w:val="bg-BG"/>
          </w:rPr>
          <w:t>https://ec.europa.eu/health/documents/community-register/2016/20160915135796/anx_135796_bg.pdf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Arixtra</w:t>
      </w:r>
      <w:r w:rsidR="008732C1" w:rsidRPr="0071705B">
        <w:rPr>
          <w:rFonts w:ascii="Times New Roman" w:hAnsi="Times New Roman" w:cs="Times New Roman"/>
          <w:sz w:val="24"/>
          <w:szCs w:val="24"/>
          <w:lang w:val="bg-BG"/>
        </w:rPr>
        <w:t>)</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8" w:history="1">
        <w:r w:rsidR="008732C1" w:rsidRPr="0071705B">
          <w:rPr>
            <w:rStyle w:val="Hyperlink"/>
            <w:rFonts w:ascii="Times New Roman" w:hAnsi="Times New Roman" w:cs="Times New Roman"/>
            <w:sz w:val="24"/>
            <w:szCs w:val="24"/>
            <w:lang w:val="bg-BG"/>
          </w:rPr>
          <w:t>http://www.medicine.bg/public/listovka/34401d.pdf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Clexane</w:t>
      </w:r>
      <w:r w:rsidR="008732C1" w:rsidRPr="0071705B">
        <w:rPr>
          <w:rFonts w:ascii="Times New Roman" w:hAnsi="Times New Roman" w:cs="Times New Roman"/>
          <w:sz w:val="24"/>
          <w:szCs w:val="24"/>
          <w:lang w:val="bg-BG"/>
        </w:rPr>
        <w:t>)</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9" w:history="1">
        <w:r w:rsidR="008732C1" w:rsidRPr="0071705B">
          <w:rPr>
            <w:rStyle w:val="Hyperlink"/>
            <w:rFonts w:ascii="Times New Roman" w:hAnsi="Times New Roman" w:cs="Times New Roman"/>
            <w:sz w:val="24"/>
            <w:szCs w:val="24"/>
            <w:lang w:val="bg-BG"/>
          </w:rPr>
          <w:t>https://www.ema.europa.eu/en/documents/product-information/eliquis-epar-product-information_bg.pdf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Eliquis</w:t>
      </w:r>
      <w:r w:rsidR="008732C1" w:rsidRPr="0071705B">
        <w:rPr>
          <w:rFonts w:ascii="Times New Roman" w:hAnsi="Times New Roman" w:cs="Times New Roman"/>
          <w:sz w:val="24"/>
          <w:szCs w:val="24"/>
          <w:lang w:val="bg-BG"/>
        </w:rPr>
        <w:t>)</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10" w:history="1">
        <w:r w:rsidR="008732C1" w:rsidRPr="0071705B">
          <w:rPr>
            <w:rStyle w:val="Hyperlink"/>
            <w:rFonts w:ascii="Times New Roman" w:hAnsi="Times New Roman" w:cs="Times New Roman"/>
            <w:sz w:val="24"/>
            <w:szCs w:val="24"/>
            <w:lang w:val="bg-BG"/>
          </w:rPr>
          <w:t>https://ec.europa.eu/health/documents/community-register/2008/2008093049239/anx_49239_bg.pdf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Xarelto</w:t>
      </w:r>
      <w:r w:rsidR="008732C1" w:rsidRPr="0071705B">
        <w:rPr>
          <w:rFonts w:ascii="Times New Roman" w:hAnsi="Times New Roman" w:cs="Times New Roman"/>
          <w:sz w:val="24"/>
          <w:szCs w:val="24"/>
          <w:lang w:val="bg-BG"/>
        </w:rPr>
        <w:t>)</w:t>
      </w:r>
    </w:p>
    <w:p w:rsidR="008732C1" w:rsidRPr="0071705B" w:rsidRDefault="006575A9" w:rsidP="008732C1">
      <w:pPr>
        <w:pStyle w:val="ListParagraph"/>
        <w:numPr>
          <w:ilvl w:val="0"/>
          <w:numId w:val="3"/>
        </w:numPr>
        <w:spacing w:line="240" w:lineRule="auto"/>
        <w:rPr>
          <w:rFonts w:ascii="Times New Roman" w:hAnsi="Times New Roman" w:cs="Times New Roman"/>
          <w:sz w:val="24"/>
          <w:szCs w:val="24"/>
          <w:lang w:val="bg-BG"/>
        </w:rPr>
      </w:pPr>
      <w:hyperlink r:id="rId11" w:history="1">
        <w:r w:rsidR="008732C1" w:rsidRPr="0071705B">
          <w:rPr>
            <w:rStyle w:val="Hyperlink"/>
            <w:rFonts w:ascii="Times New Roman" w:hAnsi="Times New Roman" w:cs="Times New Roman"/>
            <w:sz w:val="24"/>
            <w:szCs w:val="24"/>
            <w:lang w:val="bg-BG"/>
          </w:rPr>
          <w:t>https://ec.europa.eu/health/documents/community-register/2018/20180108139551/anx_139551_bg.pdf</w:t>
        </w:r>
      </w:hyperlink>
      <w:r w:rsidR="008732C1" w:rsidRPr="0071705B">
        <w:rPr>
          <w:rFonts w:ascii="Times New Roman" w:hAnsi="Times New Roman" w:cs="Times New Roman"/>
          <w:sz w:val="24"/>
          <w:szCs w:val="24"/>
          <w:lang w:val="bg-BG"/>
        </w:rPr>
        <w:t xml:space="preserve"> (</w:t>
      </w:r>
      <w:r w:rsidR="008732C1">
        <w:rPr>
          <w:rFonts w:ascii="Times New Roman" w:hAnsi="Times New Roman" w:cs="Times New Roman"/>
          <w:sz w:val="24"/>
          <w:szCs w:val="24"/>
          <w:lang w:val="en-US"/>
        </w:rPr>
        <w:t>Pradaxa</w:t>
      </w:r>
      <w:r w:rsidR="008732C1" w:rsidRPr="0071705B">
        <w:rPr>
          <w:rFonts w:ascii="Times New Roman" w:hAnsi="Times New Roman" w:cs="Times New Roman"/>
          <w:sz w:val="24"/>
          <w:szCs w:val="24"/>
          <w:lang w:val="bg-BG"/>
        </w:rPr>
        <w:t>)</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Ojike NI, Bhadra AK, Giannoudis PV, Roberts CS. Venous thromboembolism in shoulder surgery: a systematic review. Acta Orthop Belg 2011;77:281-289.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Day JS, Ramsey ML, Lau E, Williams GR. Risk of venous thromboembolism after shoulder arthroplasty in the Medicare population. J Shoulder Elbow Surg 2015;24:98-105.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 xml:space="preserve">National Institute for Health and Clinical Excellence. Venous thromboembolism in over 16s: reducing the risk of hospital-acquired deep vein thrombosis or pulmonary embolism. </w:t>
      </w:r>
      <w:hyperlink r:id="rId12" w:history="1">
        <w:r w:rsidRPr="0071705B">
          <w:rPr>
            <w:rStyle w:val="Hyperlink"/>
            <w:rFonts w:ascii="Times New Roman" w:hAnsi="Times New Roman" w:cs="Times New Roman"/>
            <w:sz w:val="24"/>
            <w:szCs w:val="24"/>
            <w:lang w:val="bg-BG"/>
          </w:rPr>
          <w:t>https://www.nice.org.uk/guidance/ng89</w:t>
        </w:r>
      </w:hyperlink>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 xml:space="preserve">Scottish Intercollegiate Guidelines Network (SIGN). Management of hip fractures in older people. Edinburgh: SIGN, 2009. </w:t>
      </w:r>
      <w:hyperlink r:id="rId13" w:history="1">
        <w:r w:rsidRPr="0071705B">
          <w:rPr>
            <w:rStyle w:val="Hyperlink"/>
            <w:rFonts w:ascii="Times New Roman" w:hAnsi="Times New Roman" w:cs="Times New Roman"/>
            <w:sz w:val="24"/>
            <w:szCs w:val="24"/>
            <w:lang w:val="bg-BG"/>
          </w:rPr>
          <w:t>http://www.sign.ac.uk/pdf/sign111.pdf</w:t>
        </w:r>
      </w:hyperlink>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Toker S, Hak DJ, Morgan SJ. Deep vein thrombosis prophylaxis in trauma patients. Thrombosis. 2011;2011:505373.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Slobogean GP, Lefaivre KA, Nicolaou S, O’Brien PJ. A systematic review of thromboprophylaxis for pelvic and acetabular fractures. J Orthop Trauma. 2009 May-Jun;23(5):379-84.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Rogers FB, Cipolle MD, Velmahos G, Rozycki G, Luchette FA. Practice management guidelines for the prevention of venous thromboembolism in trauma patients: the EAST practice management guidelines work group. J Trauma. 2002 Jul;53(1):142-64.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Chana-Rodr´ıguez F, Mañanes RP, Rojo-Manaute J, Haro JAC, Vaquero-Mart´ın J. Methods and Guidelines for Venous Thromboembolism Prevention in Polytrauma Patients with Pelvic and Acetabular Fractures. Open Orthop J. 2015 Jul 31;9:313-20.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Niikura T, Sakai Y, Lee SY, Iwakura T, Kuroda R, Kurosaka M. Rate of venous thromboembolism after complex lower-limb fracture surgery without pharmacological prophylaxis. J Orthop Surg (Hong Kong). 2015 Apr;23(1):37-40.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Aggarwal S, Patel S, Vashisht S, Kumar V, Sehgal IS, Chauhan R, Chaluvashetty DSB, Hemanth Kumar DK, Jindal DK. Guidelines for the prevention of venous thromboembolism in hospitalized patients with pelvi-acetabular trauma. J Clin Orthop Trauma. 2020 Nov-Dec;11(6):1002-8.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Wang H, Chen W, Su Y, Li Z, Li M, Wu Z, Zhang Y. Thrombotic risk assessment questionary helps increase the use of thromboprophylaxis for patients with pelvic and acetabular fractures. Indian J Orthop. 2012 Jul;46(4):413-9.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Falck-Ytter Y, Francis CW, Johanson NA, Curley C, Dahl OE, Schulman S, Ortel TL, Pauker SG, Colwell CW Jr. Prevention of VTE in orthopedic surgery patients: Antithrombotic Therapy and Prevention of Thrombosis, 9th ed: American College of Chest Physicians Evidence-Based Clinical Practice Guidelines. Chest. 2012 Feb; 141(2)(Suppl):e278S-325S.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Jehan F, O’Keeffe T, Khan M, Chi A, Tang A, Kulvatunyou N, Gries L, Joseph B. Early thromboprophylaxis with low-molecular-weight heparin is safe in patients with pelvic fracture managed nonoperatively. J Surg Res. 2017 Nov;219:360-5.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Ricci WM, Broekhuyse H, Keating JF, Teague DC, White TO. Thromboprophylaxis an update of current practice: Can we reach a consensus? OTA Int. 2019 Nov 22;2(4):e027.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Warkentin TE, Levine MN, Hirsh J, Horsewood P, Roberts RS, Gent M, Kelton JG. Heparin-induced thrombocytopenia in patients treated with low-molecularweight heparin or unfractionated heparin. N Engl J Med. 1995 May 18;332(20): 1330-5.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Byrne JP, Geerts W, Mason SA, Gomez D, Hoeft C, Murphy R, Neal M, Nathens AB. Effectiveness of low-molecular-weight heparin versus unfractionated heparin to prevent pulmonary embolism following major trauma: A propensity-matched analysis. J Trauma Acute Care Surg. 2017 Feb;82(2):252-62.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Heyes GJ, Tucker A, Michael AL, Wallace RG. The incidence of deep vein thrombosis and pulmonary embolism following cast immobilisation and early functional bracing of Tendo Achilles rupture without thromboprophylaxis. Eur J Trauma Emerg Surg 2015;41:273-276.</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Healy B, Beasley R, Weatherall M. Venous thromboembolism following prolonged cast immobilisation for injury to the tendo Achillis. J Bone Joint Surg [Br] 2010;92:646-650.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Jameson SS, Augustine A, James P, et al. Venous thromboembolic events following foot and ankle surgery in the English National Health Service. J Bone Joint Surg [Br] 2011;93:490-497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Testroote M, Stigter WA, Janssen L, Janzing HM. Low molecular weight heparin for prevention of venous thromboembolism in patients with lower-leg immobilization. Cochrane Database Syst Rev 2014;(4):CD006681.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color w:val="212121"/>
          <w:sz w:val="24"/>
          <w:shd w:val="clear" w:color="auto" w:fill="FFFFFF"/>
          <w:lang w:val="bg-BG"/>
        </w:rPr>
        <w:t>The ICM-VTE Trauma Delegates. Recommendations from the ICM-VTE: Trauma. J Bone Joint Surg Am. 2022 Mar 16;104(Suppl 1):280-308. doi: 10.2106/JBJS.21.01476. PMID: 35315615.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Calder JD, Freeman R, Domeij-Arverud E, van Dijk CN, Ackermann PW. Meta-analysis and suggested guidelines for prevention of venous thromboembolism (VTE) in foot and ankle surgery. Knee Surg Sports Traumatol Arthrosc 2016;24:1409-1420.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color w:val="303030"/>
          <w:sz w:val="24"/>
          <w:szCs w:val="30"/>
          <w:shd w:val="clear" w:color="auto" w:fill="FFFFFF"/>
          <w:lang w:val="bg-BG"/>
        </w:rPr>
        <w:t>Colomina M.J., Mora L., Ciércoles E. [Thromboprophylaxis in multiple trauma and head injury patients]. </w:t>
      </w:r>
      <w:r w:rsidRPr="0071705B">
        <w:rPr>
          <w:rStyle w:val="ref-journal"/>
          <w:rFonts w:ascii="Times New Roman" w:hAnsi="Times New Roman" w:cs="Times New Roman"/>
          <w:color w:val="303030"/>
          <w:sz w:val="24"/>
          <w:szCs w:val="30"/>
          <w:shd w:val="clear" w:color="auto" w:fill="FFFFFF"/>
          <w:lang w:val="bg-BG"/>
        </w:rPr>
        <w:t>Rev. Esp. Anestesiol. Reanim. </w:t>
      </w:r>
      <w:r w:rsidRPr="0071705B">
        <w:rPr>
          <w:rFonts w:ascii="Times New Roman" w:hAnsi="Times New Roman" w:cs="Times New Roman"/>
          <w:color w:val="303030"/>
          <w:sz w:val="24"/>
          <w:szCs w:val="30"/>
          <w:shd w:val="clear" w:color="auto" w:fill="FFFFFF"/>
          <w:lang w:val="bg-BG"/>
        </w:rPr>
        <w:t>2011;</w:t>
      </w:r>
      <w:r w:rsidRPr="0071705B">
        <w:rPr>
          <w:rStyle w:val="ref-vol"/>
          <w:rFonts w:ascii="Times New Roman" w:hAnsi="Times New Roman" w:cs="Times New Roman"/>
          <w:color w:val="303030"/>
          <w:sz w:val="24"/>
          <w:szCs w:val="30"/>
          <w:shd w:val="clear" w:color="auto" w:fill="FFFFFF"/>
          <w:lang w:val="bg-BG"/>
        </w:rPr>
        <w:t>58</w:t>
      </w:r>
      <w:r w:rsidRPr="0071705B">
        <w:rPr>
          <w:rFonts w:ascii="Times New Roman" w:hAnsi="Times New Roman" w:cs="Times New Roman"/>
          <w:color w:val="303030"/>
          <w:sz w:val="24"/>
          <w:szCs w:val="30"/>
          <w:shd w:val="clear" w:color="auto" w:fill="FFFFFF"/>
          <w:lang w:val="bg-BG"/>
        </w:rPr>
        <w:t>(10):602–610.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color w:val="303030"/>
          <w:sz w:val="24"/>
          <w:szCs w:val="30"/>
          <w:shd w:val="clear" w:color="auto" w:fill="FFFFFF"/>
          <w:lang w:val="bg-BG"/>
        </w:rPr>
        <w:t>Meissner M.H., Chandler W.L., Elliott J.S. Venous thromboembolism in trauma: a local manifestation of systemic hypercoagulability? </w:t>
      </w:r>
      <w:r w:rsidRPr="0071705B">
        <w:rPr>
          <w:rStyle w:val="ref-journal"/>
          <w:rFonts w:ascii="Times New Roman" w:hAnsi="Times New Roman" w:cs="Times New Roman"/>
          <w:color w:val="303030"/>
          <w:sz w:val="24"/>
          <w:szCs w:val="30"/>
          <w:shd w:val="clear" w:color="auto" w:fill="FFFFFF"/>
          <w:lang w:val="bg-BG"/>
        </w:rPr>
        <w:t>J. Trauma. </w:t>
      </w:r>
      <w:r w:rsidRPr="0071705B">
        <w:rPr>
          <w:rFonts w:ascii="Times New Roman" w:hAnsi="Times New Roman" w:cs="Times New Roman"/>
          <w:color w:val="303030"/>
          <w:sz w:val="24"/>
          <w:szCs w:val="30"/>
          <w:shd w:val="clear" w:color="auto" w:fill="FFFFFF"/>
          <w:lang w:val="bg-BG"/>
        </w:rPr>
        <w:t>2003;</w:t>
      </w:r>
      <w:r w:rsidRPr="0071705B">
        <w:rPr>
          <w:rStyle w:val="ref-vol"/>
          <w:rFonts w:ascii="Times New Roman" w:hAnsi="Times New Roman" w:cs="Times New Roman"/>
          <w:color w:val="303030"/>
          <w:sz w:val="24"/>
          <w:szCs w:val="30"/>
          <w:shd w:val="clear" w:color="auto" w:fill="FFFFFF"/>
          <w:lang w:val="bg-BG"/>
        </w:rPr>
        <w:t>54</w:t>
      </w:r>
      <w:r w:rsidRPr="0071705B">
        <w:rPr>
          <w:rFonts w:ascii="Times New Roman" w:hAnsi="Times New Roman" w:cs="Times New Roman"/>
          <w:color w:val="303030"/>
          <w:sz w:val="24"/>
          <w:szCs w:val="30"/>
          <w:shd w:val="clear" w:color="auto" w:fill="FFFFFF"/>
          <w:lang w:val="bg-BG"/>
        </w:rPr>
        <w:t>(2):224–231. doi: 10.1097/01.TA.0000046253.33495.70.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color w:val="303030"/>
          <w:sz w:val="24"/>
          <w:szCs w:val="30"/>
          <w:shd w:val="clear" w:color="auto" w:fill="FFFFFF"/>
          <w:lang w:val="bg-BG"/>
        </w:rPr>
        <w:t>Geerts W.H., Code K.I., Jay R.M., Chen E., Szalai J.P. A prospective study of venous thromboembolism after major trauma. </w:t>
      </w:r>
      <w:r w:rsidRPr="0071705B">
        <w:rPr>
          <w:rStyle w:val="ref-journal"/>
          <w:rFonts w:ascii="Times New Roman" w:hAnsi="Times New Roman" w:cs="Times New Roman"/>
          <w:color w:val="303030"/>
          <w:sz w:val="24"/>
          <w:szCs w:val="30"/>
          <w:shd w:val="clear" w:color="auto" w:fill="FFFFFF"/>
          <w:lang w:val="bg-BG"/>
        </w:rPr>
        <w:t>N. Engl. J. Med. </w:t>
      </w:r>
      <w:r w:rsidRPr="0071705B">
        <w:rPr>
          <w:rFonts w:ascii="Times New Roman" w:hAnsi="Times New Roman" w:cs="Times New Roman"/>
          <w:color w:val="303030"/>
          <w:sz w:val="24"/>
          <w:szCs w:val="30"/>
          <w:shd w:val="clear" w:color="auto" w:fill="FFFFFF"/>
          <w:lang w:val="bg-BG"/>
        </w:rPr>
        <w:t>1994;</w:t>
      </w:r>
      <w:r w:rsidRPr="0071705B">
        <w:rPr>
          <w:rStyle w:val="ref-vol"/>
          <w:rFonts w:ascii="Times New Roman" w:hAnsi="Times New Roman" w:cs="Times New Roman"/>
          <w:color w:val="303030"/>
          <w:sz w:val="24"/>
          <w:szCs w:val="30"/>
          <w:shd w:val="clear" w:color="auto" w:fill="FFFFFF"/>
          <w:lang w:val="bg-BG"/>
        </w:rPr>
        <w:t>331</w:t>
      </w:r>
      <w:r w:rsidRPr="0071705B">
        <w:rPr>
          <w:rFonts w:ascii="Times New Roman" w:hAnsi="Times New Roman" w:cs="Times New Roman"/>
          <w:color w:val="303030"/>
          <w:sz w:val="24"/>
          <w:szCs w:val="30"/>
          <w:shd w:val="clear" w:color="auto" w:fill="FFFFFF"/>
          <w:lang w:val="bg-BG"/>
        </w:rPr>
        <w:t>(24):1601–1606. doi: 10.1056/NEJM199412153312401.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Rappold JF, Sheppard FR, Carmichael Ii SP, Cuschieri J, Ley E, Rangel E, Seshadri AJ, Michetti CP. Venous thromboembolism prophylaxis in the trauma intensive care unit: an American Association for the Surgery of Trauma Critical Care Committee Clinical Consensus Document. Trauma Surg Acute Care Open. 2021 Feb 24;6(1):e000643.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Sagi HC, Ahn J, Ciesla D, Collinge C, Molina C, Obremskey WT, Guillamondegui O, Tornetta P 3rd; Orthopaedic Trauma Association Evidence Based Quality Value and Safety Committee. Venous Thromboembolism Prophylaxis in Orthopaedic Trauma Patients: A Survey of OTA Member Practice Patterns and OTA Expert Panel Recommendations. J Orthop Trauma. 2015 Oct;29(10):e355-62.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Rostas JW, Manley J, Gonzalez RP, Brevard SB, Ahmed N, Frotan MA, Mitchell E, Simmons JD. The safety of low molecular-weight heparin after blunt liver and spleen injuries. Am J Surg. 2015 Jul;210(1):31-4.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Levy AS, Salottolo K, Bar-Or R, Offner P, Mains C, Sullivan M, Bar-Or D. Pharmacologic thromboprophylaxis is a risk factor for hemorrhage progression in a subset of patients with traumatic brain injury. J Trauma. 2010 Apr;68(4):886-94.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Coleman JR, Carmichael H, Zangara T, Dunn J, Schroeppel TJ, Campion E, Goodman M, Hosokawa P, Sauaia A, Moore EE, Bunn B, Floren M, Ferrigno L. A Stitch in Time Saves Clots: Venous Thromboembolism Chemoprophylaxis in Traumatic Brain Injury. J Surg Res. 2021 Feb;258:289-98.</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Byrne JP, Mason SA, Gomez D, Hoeft C, Subacius H, Xiong W, Neal M, Pirouzmand F, Nathens AB. Timing of Pharmacologic Venous Thromboembolism Prophylaxis in Severe Traumatic Brain Injury: A Propensity-Matched Cohort Study. J Am Coll Surg. 2016 Oct;223(4):621-631.e5.</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Hachem LD, Mansouri A, Scales DC, Geerts W, Pirouzmand F. Anticoagulant prophylaxis against venous thromboembolism following severe traumatic brain injury: A prospective observational study and systematic review of the literature. Clin Neurol Neurosurg. 2018 Dec;175:68-73.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Norwood SH, Berne JD, Rowe SA, Villarreal DH, Ledlie JT. Early venous thromboembolism prophylaxis with enoxaparin in patients with blunt traumatic brain injury. J Trauma. 2008 Nov;65(5):1021-6, discussion :1026-7.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Mesa Galan LA, Egea-Guerrero JJ, Quintana Diaz M, Vilches-Arenas A. The effectiveness and safety of pharmacological prophylaxis against venous thromboembolism in patients with moderate to severe traumatic brain injury: A systematic review and meta-analysis. J Trauma Acute Care Surg. 2016 Sep;81(3): 567-74.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Frisoli FA, Shinseki M, Nwabuobi L, Zeng XL, Adrados M, Kanter C, Frangos SG, Huang PP. Early Venous Thromboembolism Chemoprophylaxis After Traumatic Intracranial Hemorrhage. Neurosurgery. 2017 Dec 1;81(6):1016-20.</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Margolick J, Dandurand C, Duncan K, Chen W, Evans DC, Sekhon MS, Garraway N, Griesdale DEG, Gooderham P, Hameed SM. A Systematic Review of the Risks and Benefits of Venous Thromboembolism Prophylaxis in Traumatic Brain Injury. Can J Neurol Sci. 2018 Jul;45(4):432-44.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Stormann P, Osinloye W, Freiman TM, Seifert V, Marzi I, Lustenberger T. Early Chemical Thromboprophylaxis Does not Increase the Risk of Intracranial Hematoma Progression in Patients with Isolated Severe Traumatic Brain Injury. World J Surg. 2019 Nov;43(11):2804-11.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Rivas L, Vella M, Ju T, Fernandez-Moure JS, Sparks A, Seamon MJ, Sarani B. Early Chemoprophylaxis Against Venous Thromboembolism in Patients With Traumatic Brain Injury. Am Surg. 2021 Jan 27:3134820983171</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Skarupa D, Hanna K, Zeeshan M, Madbak F, Hamidi M, Haddadin Z, Northcutt A, Gries L, Kulvatunyou N, Joseph B. Is early chemical thromboprophylaxis in patients with solid organ injury a solid decision? J Trauma Acute Care Surg. 2019 Nov;87(5): 1104-12.</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Rappold JF, Sheppard FR, Carmichael Ii SP, Cuschieri J, Ley E, Rangel E, Seshadri AJ, Michetti CP. Venous thromboembolism prophylaxis in the trauma intensive care unit: an American Association for the Surgery of Trauma Critical Care Committee Clinical Consensus Document. Trauma Surg Acute Care Open. 2021 Feb 24;6(1):e000643.</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Kovar FM, Strasser E, Jaindl M, Endler G, Oberleitner G. Complications following implant removal in patients with proximal femur fractures – an observational study over 16 years. Orthop Traumatol Surg Res. 2015 Nov;101(7): 785-9.</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Jacobs JJ, Mont MA, Bozic KJ, Della Valle CJ, Goodman SB, Lewis CG, Yates AC Jr, Boggio LN, Watters WC 3rd, Turkelson CM, Wies JL, Sluka P, Hitchcock K. American Academy of Orthopaedic Surgeons clinical practice guideline on: preventing venous thromboembolic disease in patients undergoing elective hip and knee arthroplasty. J Bone Joint Surg Am. 2012 Apr 18;94(8):746-7.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Falck-Ytter Y, Francis CW, Johanson NA, Curley C, Dahl OE, Schulman S, Ortel TL, Pauker SG, Colwell CW Jr. Prevention of VTE in orthopedic surgery patients: Antithrombotic Therapy and Prevention of Thrombosis, 9th ed: American College of Chest Physicians Evidence-Based Clinical Practice Guidelines. Chest. 2012 Feb;141(2)(Suppl):e278S-325S.</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Fleischer AE, Abicht BP, Baker JR, Boffeli TJ, Jupiter DC, Schade VL. American College of Foot and Ankle Surgeons’ clinical consensus statement: risk, prevention, and diagnosis of venous thromboembolism disease in foot and ankle surgery and injuries requiring immobilization. J Foot Ankle Surg. 2015 May-Jun; 54(3):497-507.</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lastRenderedPageBreak/>
        <w:t>Baron TH, Kamath PS, McBane RD. Management of antithrombotic therapy in patients undergoing invasive procedures. N Engl J Med. 2013 May 30;368(22): 2113-24.</w:t>
      </w:r>
    </w:p>
    <w:p w:rsidR="008732C1" w:rsidRPr="0071705B" w:rsidRDefault="008732C1" w:rsidP="008732C1">
      <w:pPr>
        <w:pStyle w:val="ListParagraph"/>
        <w:numPr>
          <w:ilvl w:val="0"/>
          <w:numId w:val="3"/>
        </w:numPr>
        <w:spacing w:line="240" w:lineRule="auto"/>
        <w:rPr>
          <w:rFonts w:ascii="Times New Roman" w:hAnsi="Times New Roman" w:cs="Times New Roman"/>
          <w:sz w:val="24"/>
          <w:szCs w:val="24"/>
          <w:lang w:val="bg-BG"/>
        </w:rPr>
      </w:pPr>
      <w:r w:rsidRPr="0071705B">
        <w:rPr>
          <w:rFonts w:ascii="Times New Roman" w:hAnsi="Times New Roman" w:cs="Times New Roman"/>
          <w:sz w:val="24"/>
          <w:szCs w:val="24"/>
          <w:lang w:val="bg-BG"/>
        </w:rPr>
        <w:t>Barlow BT, Hannon MT, Waldron JE. Preoperative Management of Antithrombotics in Arthroplasty. J Am Acad Orthop Surg. 2019 Dec 1;27(23): 878-86.</w:t>
      </w:r>
    </w:p>
    <w:p w:rsidR="008732C1" w:rsidRPr="0071705B"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szCs w:val="24"/>
          <w:lang w:val="bg-BG"/>
        </w:rPr>
        <w:t>Hornor MA, Duane TM, Ehlers AP, Jensen EH, Brown PS Jr, Pohl D, da Costa PM, Ko CY, Laronga C. American College of Surgeons’ Guidelines for the Perioperative Management of Antithrombotic Medication. J Am Coll Surg. 2018 Nov; 227(5):521-536.e1.</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118. Vivas D, Rold´an I, Ferrandis R, Mar´ın F, Rold´an V, Tello-Montoliu A, Ruiz-Nodar JM, G´omez-Doblas JJ, Mart´ın A, Llau JV, Ramos-Gallo MJ, Muñoz R,Arcelus JI, Leyva F, Alberca F, Oliva R, G´omez AM, Montero C, Arikan F, Ley L,Santos-Bueso E, Figuero E, Bujald ´on A, Urbano J, Otero R, Hermida JF,Egocheaga I, Llisterri JL, Lobos JM, Serrano A, Madridano O, Ferreiro JL; Expertreviewers. Perioperative and Periprocedural Management of AntithromboticTherapy: Consensus Document of SEC, SEDAR, SEACV, SECTCV, AEC, SECPRE,SEPD, SEGO, SEHH, SETH, SEMERGEN, SEMFYC, SEMG, SEMICYUC, SEMI,SEMES, SEPAR, SENEC, SEO, SEPA, SERVEI, SECOT and AEU. Rev Esp Cardiol(Engl Ed). 2018 Jul;71(7):553-64.</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Columbo JA, Lambour AJ, Sundling RA, Chauhan NB, Bessen SY, Linshaw DL,Kang R, Riblet NBV, Goodney PP, Stone DH. A Meta-analysis of the Impact of Aspirin,Clopidogrel, and Dual Antiplatelet Therapy on Bleeding Complications in NoncardiacSurgery. Ann Surg. 2018 Jan;267(1):1-10</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King K, Polischuk M, Lynch G, Gergis A, Rajesh A, Shelfoon C, Kattar N,Sriselvakumar S, Cooke C. Early Surgical Fixation for Hip Fractures in Patients TakingDirect Oral Anticoagulation: A Retrospective Cohort Study. Geriatr Orthop SurgRehabil. 2020 Jul 27;11:2151459320944854.</w:t>
      </w:r>
    </w:p>
    <w:p w:rsidR="008732C1" w:rsidRPr="0071705B"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Schuetze K, Eickhoff A, Dehner C, Gebhard F, Richter PH. Impact of oralanticoagulation on proximal femur fractures treated within 24h- A retrospective chartreview .Injury .2019 Nov ;50(11):2040-4.</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Gosch M, Jacobs M, Bail H, Grueninger S, Wicklein S. Outcome of older hipfracture patients on anticoagulation: a comparison of vitamin K-antagonists andFactor Xa inhibitors. Arch Orthop Trauma Surg. 2021 Apr;141(4):637-43.</w:t>
      </w:r>
    </w:p>
    <w:p w:rsidR="008732C1" w:rsidRPr="0071705B"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Ktistakis I, Giannoudis V, Giannoudis PV. Anticoagulation therapy andproximal femoral fracture treatment: An update. EFORT Open Rev. 2017 Mar 13;1(8):310-5.</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Tharmarajah P, Pusey J, Keeling D, Willett K. Efficacy of warfarin reversal inorthopedic trauma surgery patients. J Orthop Trauma. 2007 Jan;21(1):26-30.</w:t>
      </w:r>
    </w:p>
    <w:p w:rsidR="008732C1" w:rsidRDefault="008732C1" w:rsidP="008732C1">
      <w:pPr>
        <w:pStyle w:val="ListParagraph"/>
        <w:numPr>
          <w:ilvl w:val="0"/>
          <w:numId w:val="3"/>
        </w:numPr>
        <w:spacing w:line="240" w:lineRule="auto"/>
        <w:rPr>
          <w:rFonts w:ascii="Times New Roman" w:hAnsi="Times New Roman" w:cs="Times New Roman"/>
          <w:sz w:val="24"/>
        </w:rPr>
      </w:pPr>
      <w:r w:rsidRPr="0071705B">
        <w:rPr>
          <w:rFonts w:ascii="Times New Roman" w:hAnsi="Times New Roman" w:cs="Times New Roman"/>
          <w:sz w:val="24"/>
        </w:rPr>
        <w:t xml:space="preserve">Recommendations | Hip fracture: management | Guidance | NICE. AccessedDecember 2, 2021. </w:t>
      </w:r>
      <w:hyperlink r:id="rId14" w:history="1">
        <w:r w:rsidRPr="00B34014">
          <w:rPr>
            <w:rStyle w:val="Hyperlink"/>
            <w:rFonts w:ascii="Times New Roman" w:hAnsi="Times New Roman" w:cs="Times New Roman"/>
            <w:sz w:val="24"/>
          </w:rPr>
          <w:t>https://www.nice.org.uk/guidance/cg124/chapter/</w:t>
        </w:r>
      </w:hyperlink>
      <w:r w:rsidRPr="0071705B">
        <w:rPr>
          <w:rFonts w:ascii="Times New Roman" w:hAnsi="Times New Roman" w:cs="Times New Roman"/>
          <w:sz w:val="24"/>
        </w:rPr>
        <w:t>Recommendations</w:t>
      </w:r>
    </w:p>
    <w:p w:rsidR="008732C1" w:rsidRPr="00D87599" w:rsidRDefault="008732C1" w:rsidP="008732C1">
      <w:pPr>
        <w:pStyle w:val="ListParagraph"/>
        <w:numPr>
          <w:ilvl w:val="0"/>
          <w:numId w:val="3"/>
        </w:numPr>
        <w:spacing w:line="240" w:lineRule="auto"/>
        <w:rPr>
          <w:rFonts w:ascii="Times New Roman" w:hAnsi="Times New Roman" w:cs="Times New Roman"/>
          <w:sz w:val="24"/>
        </w:rPr>
      </w:pPr>
      <w:r w:rsidRPr="00D87599">
        <w:rPr>
          <w:rFonts w:ascii="Times New Roman" w:hAnsi="Times New Roman" w:cs="Times New Roman"/>
          <w:sz w:val="24"/>
        </w:rPr>
        <w:t>Gulati V, Newman S, Porter KJ, Franco LCS, Wainwright T, Ugoigwe C,Middleton R. Implications of anticoagulant and antiplatelet therapy in patientspresenting with hip fractures: a current concepts review. Hip Int. 2018 May;28(3):227-33.</w:t>
      </w:r>
    </w:p>
    <w:p w:rsidR="008732C1" w:rsidRDefault="008732C1" w:rsidP="008732C1">
      <w:pPr>
        <w:pStyle w:val="ListParagraph"/>
        <w:numPr>
          <w:ilvl w:val="0"/>
          <w:numId w:val="3"/>
        </w:numPr>
        <w:spacing w:line="240" w:lineRule="auto"/>
        <w:rPr>
          <w:rFonts w:ascii="Times New Roman" w:hAnsi="Times New Roman" w:cs="Times New Roman"/>
          <w:sz w:val="24"/>
        </w:rPr>
      </w:pPr>
      <w:r w:rsidRPr="00D87599">
        <w:rPr>
          <w:rFonts w:ascii="Times New Roman" w:hAnsi="Times New Roman" w:cs="Times New Roman"/>
          <w:sz w:val="24"/>
        </w:rPr>
        <w:t>Moores TS, Beaven A, Cattell AE, Baker C, Roberts PJ. Preoperative warfarinreversal for early hip fracture surgery. J Orthop Surg (Hong Kong). 2015 Apr;23(1):33-6.</w:t>
      </w:r>
    </w:p>
    <w:p w:rsidR="008732C1" w:rsidRDefault="008732C1" w:rsidP="008732C1">
      <w:pPr>
        <w:pStyle w:val="ListParagraph"/>
        <w:numPr>
          <w:ilvl w:val="0"/>
          <w:numId w:val="3"/>
        </w:numPr>
        <w:spacing w:line="240" w:lineRule="auto"/>
        <w:rPr>
          <w:rFonts w:ascii="Times New Roman" w:hAnsi="Times New Roman" w:cs="Times New Roman"/>
          <w:sz w:val="24"/>
        </w:rPr>
      </w:pPr>
      <w:r w:rsidRPr="00D87599">
        <w:rPr>
          <w:rFonts w:ascii="Times New Roman" w:hAnsi="Times New Roman" w:cs="Times New Roman"/>
          <w:sz w:val="24"/>
        </w:rPr>
        <w:lastRenderedPageBreak/>
        <w:t>Doherty JU, Gluckman TJ, Hucker WJ, Januzzi JL Jr, Ortel TL, Saxonhouse SJ, Spinler SA. 2017 ACC Expert Consensus Decision Pathway for Periprocedural Management of Anticoagulation in Patients With Nonvalvular Atrial Fibrillation: A Report of the American College of Cardiology Clinical Expert Consensus DocumentTask Force. J Am Coll Cardiol. 2017 Feb 21;69(7):871-98.</w:t>
      </w:r>
    </w:p>
    <w:p w:rsidR="008732C1" w:rsidRDefault="008732C1" w:rsidP="008732C1">
      <w:pPr>
        <w:pStyle w:val="ListParagraph"/>
        <w:numPr>
          <w:ilvl w:val="0"/>
          <w:numId w:val="3"/>
        </w:numPr>
        <w:spacing w:line="240" w:lineRule="auto"/>
        <w:rPr>
          <w:rFonts w:ascii="Times New Roman" w:hAnsi="Times New Roman" w:cs="Times New Roman"/>
          <w:sz w:val="24"/>
        </w:rPr>
      </w:pPr>
      <w:r w:rsidRPr="000D2A74">
        <w:rPr>
          <w:rFonts w:ascii="Times New Roman" w:hAnsi="Times New Roman" w:cs="Times New Roman"/>
          <w:sz w:val="24"/>
        </w:rPr>
        <w:t>Horlocker TT, Vandermeuelen E, Kopp SL, Gogarten W, Leffert LR, Benzon HT.Regional Anesthesia in the Patient Receiving Antithrombotic or ThrombolyticTherapy: American Society of Regional Anesthesia and Pain Medicine Evidence-Based Guidelines (Fourth Edition). Reg Anesth Pain Med. 2018 Apr;43(3):263-309</w:t>
      </w:r>
    </w:p>
    <w:p w:rsidR="008732C1" w:rsidRDefault="008732C1" w:rsidP="008732C1">
      <w:pPr>
        <w:pStyle w:val="ListParagraph"/>
        <w:numPr>
          <w:ilvl w:val="0"/>
          <w:numId w:val="3"/>
        </w:numPr>
        <w:spacing w:line="240" w:lineRule="auto"/>
        <w:rPr>
          <w:rFonts w:ascii="Times New Roman" w:hAnsi="Times New Roman" w:cs="Times New Roman"/>
          <w:sz w:val="24"/>
        </w:rPr>
      </w:pPr>
      <w:r w:rsidRPr="000D2A74">
        <w:rPr>
          <w:rFonts w:ascii="Times New Roman" w:hAnsi="Times New Roman" w:cs="Times New Roman"/>
          <w:sz w:val="24"/>
        </w:rPr>
        <w:t>Niessner A, Tamargo J, Morais J, Koller L, Wassmann S, Husted SE, Torp-Pedersen C, Kjeldsen K, Lewis BS, Drexel H, Kaski JC, Atar D, Storey RF, Lip GYH, Verheugt FWA, Agewall S. Reversal strategies for non-vitamin K antagonist oral anticoagulants: a critical appraisal of available evidence and recommendations for clinical management-a joint position paper of the European Society of Cardiology Working Group on Cardiovascular Pharmacotherapy and European Society of Cardiology Working Group onThrombosis. Eur Heart J. 2017 Jun 7;38(22):1710-6.</w:t>
      </w:r>
    </w:p>
    <w:p w:rsidR="008732C1" w:rsidRDefault="008732C1" w:rsidP="008732C1">
      <w:pPr>
        <w:pStyle w:val="ListParagraph"/>
        <w:numPr>
          <w:ilvl w:val="0"/>
          <w:numId w:val="3"/>
        </w:numPr>
        <w:spacing w:line="240" w:lineRule="auto"/>
        <w:rPr>
          <w:rFonts w:ascii="Times New Roman" w:hAnsi="Times New Roman" w:cs="Times New Roman"/>
          <w:sz w:val="24"/>
        </w:rPr>
      </w:pPr>
      <w:r w:rsidRPr="000D2A74">
        <w:rPr>
          <w:rFonts w:ascii="Times New Roman" w:hAnsi="Times New Roman" w:cs="Times New Roman"/>
          <w:sz w:val="24"/>
        </w:rPr>
        <w:t>Horlocker TT, Vandermeuelen E, Kopp SL, Gogarten W, Leffert LR, Benzon HT. Regional Anesthesia in the Patient Receiving Antithrombotic or Thrombolytic Therapy: American Society of Regional Anesthesia and Pain Medicine Evidence-Based Guidelines (Fourth Edition). Reg Anesth Pain Med. 2018 Apr;43(3):263-309.</w:t>
      </w:r>
    </w:p>
    <w:p w:rsidR="008732C1" w:rsidRDefault="008732C1" w:rsidP="008732C1">
      <w:pPr>
        <w:pStyle w:val="ListParagraph"/>
        <w:numPr>
          <w:ilvl w:val="0"/>
          <w:numId w:val="3"/>
        </w:numPr>
        <w:spacing w:line="240" w:lineRule="auto"/>
        <w:rPr>
          <w:rFonts w:ascii="Times New Roman" w:hAnsi="Times New Roman" w:cs="Times New Roman"/>
          <w:sz w:val="24"/>
        </w:rPr>
      </w:pPr>
      <w:r w:rsidRPr="0030530E">
        <w:rPr>
          <w:rFonts w:ascii="Times New Roman" w:hAnsi="Times New Roman" w:cs="Times New Roman"/>
          <w:sz w:val="24"/>
        </w:rPr>
        <w:t>Kustos SA, Fasinu PS. Direct-Acting Oral Anticoagulants and Their ReversalAgents-An Update. Medicines (Basel). 2019 Oct 15;6(4):E103.</w:t>
      </w:r>
    </w:p>
    <w:p w:rsidR="008732C1" w:rsidRPr="0030530E" w:rsidRDefault="008732C1" w:rsidP="008732C1">
      <w:pPr>
        <w:pStyle w:val="ListParagraph"/>
        <w:numPr>
          <w:ilvl w:val="0"/>
          <w:numId w:val="3"/>
        </w:numPr>
        <w:spacing w:line="240" w:lineRule="auto"/>
        <w:rPr>
          <w:rFonts w:ascii="Times New Roman" w:hAnsi="Times New Roman" w:cs="Times New Roman"/>
          <w:sz w:val="24"/>
        </w:rPr>
      </w:pPr>
      <w:r w:rsidRPr="0030530E">
        <w:rPr>
          <w:rFonts w:ascii="Times New Roman" w:hAnsi="Times New Roman" w:cs="Times New Roman"/>
          <w:sz w:val="24"/>
        </w:rPr>
        <w:t>Keeling D, Tait RC, Watson H; British Committee of Standards forHaematology. Peri-operative management of anticoagulation and antiplatelettherapy. Br J Haematol. 2016 Nov;175(4):602-13.</w:t>
      </w:r>
    </w:p>
    <w:p w:rsidR="008732C1" w:rsidRPr="0030530E" w:rsidRDefault="008732C1" w:rsidP="008732C1">
      <w:pPr>
        <w:pStyle w:val="ListParagraph"/>
        <w:numPr>
          <w:ilvl w:val="0"/>
          <w:numId w:val="3"/>
        </w:numPr>
        <w:spacing w:line="240" w:lineRule="auto"/>
        <w:rPr>
          <w:rFonts w:ascii="Times New Roman" w:hAnsi="Times New Roman" w:cs="Times New Roman"/>
          <w:sz w:val="24"/>
        </w:rPr>
      </w:pPr>
      <w:r w:rsidRPr="0030530E">
        <w:rPr>
          <w:rFonts w:ascii="Times New Roman" w:hAnsi="Times New Roman" w:cs="Times New Roman"/>
          <w:sz w:val="24"/>
        </w:rPr>
        <w:t>Kennedy MT, Roche S, Fleming SM, Lenehan B, Curtin W. The associationbetween aspirin and blood loss in hip fracture patients. Acta Orthop Belg. 2006 Jan;72(1):29-33.</w:t>
      </w:r>
    </w:p>
    <w:p w:rsidR="008732C1" w:rsidRPr="005771B3" w:rsidRDefault="008732C1" w:rsidP="008732C1">
      <w:pPr>
        <w:pStyle w:val="ListParagraph"/>
        <w:numPr>
          <w:ilvl w:val="0"/>
          <w:numId w:val="3"/>
        </w:numPr>
        <w:spacing w:line="240" w:lineRule="auto"/>
        <w:rPr>
          <w:rFonts w:ascii="Times New Roman" w:hAnsi="Times New Roman" w:cs="Times New Roman"/>
          <w:sz w:val="24"/>
        </w:rPr>
      </w:pPr>
      <w:r w:rsidRPr="0030530E">
        <w:rPr>
          <w:rFonts w:ascii="Times New Roman" w:hAnsi="Times New Roman" w:cs="Times New Roman"/>
          <w:sz w:val="24"/>
        </w:rPr>
        <w:t>Douketis JD, Spyropoulos AC, Spencer FA, Mayr M, Jaffer AK, Eckman MH, Dunn AS, Kunz R. Perioperative management of antithrombotic therapy: Antithrombotic Therapy and Prevention of Thrombosis, 9th ed: American College of Chest Physicians Evidence-Based Clinical Practice Guidelines. Chest. 2012 Feb;141(2)(Suppl):e326S-50S.</w:t>
      </w:r>
    </w:p>
    <w:p w:rsidR="008732C1" w:rsidRPr="005771B3" w:rsidRDefault="008732C1" w:rsidP="008732C1">
      <w:pPr>
        <w:pStyle w:val="ListParagraph"/>
        <w:numPr>
          <w:ilvl w:val="0"/>
          <w:numId w:val="3"/>
        </w:numPr>
        <w:spacing w:after="0" w:line="300" w:lineRule="atLeast"/>
        <w:rPr>
          <w:rFonts w:ascii="inherit" w:eastAsia="Times New Roman" w:hAnsi="inherit" w:cs="Times New Roman"/>
          <w:sz w:val="24"/>
          <w:szCs w:val="24"/>
        </w:rPr>
      </w:pPr>
      <w:r w:rsidRPr="005771B3">
        <w:rPr>
          <w:rFonts w:ascii="inherit" w:eastAsia="Times New Roman" w:hAnsi="inherit" w:cs="Times New Roman"/>
          <w:sz w:val="24"/>
          <w:szCs w:val="24"/>
        </w:rPr>
        <w:t xml:space="preserve">Lyman S, Sherman S, Carter TI, et al. Prevalence and risk factors for symptomatic thromboembolic events after shoulder arthroplasty. Clin Orthop Relat Res 2006;448:152-6 </w:t>
      </w:r>
      <w:hyperlink r:id="rId15" w:tgtFrame="_blank" w:history="1">
        <w:r w:rsidRPr="005771B3">
          <w:rPr>
            <w:rFonts w:ascii="inherit" w:eastAsia="Times New Roman" w:hAnsi="inherit" w:cs="Times New Roman"/>
            <w:color w:val="0000FF"/>
            <w:sz w:val="24"/>
            <w:szCs w:val="24"/>
            <w:u w:val="single"/>
            <w:bdr w:val="none" w:sz="0" w:space="0" w:color="auto" w:frame="1"/>
          </w:rPr>
          <w:t>http://www.ncbi.nlm.nih.gov/pubmed/16826110</w:t>
        </w:r>
      </w:hyperlink>
      <w:r w:rsidRPr="005771B3">
        <w:rPr>
          <w:rFonts w:ascii="inherit" w:eastAsia="Times New Roman" w:hAnsi="inherit" w:cs="Times New Roman"/>
          <w:sz w:val="24"/>
          <w:szCs w:val="24"/>
        </w:rPr>
        <w:t xml:space="preserve">. </w:t>
      </w:r>
    </w:p>
    <w:p w:rsidR="008732C1" w:rsidRPr="005771B3" w:rsidRDefault="008732C1" w:rsidP="008732C1">
      <w:pPr>
        <w:pStyle w:val="ListParagraph"/>
        <w:numPr>
          <w:ilvl w:val="0"/>
          <w:numId w:val="3"/>
        </w:numPr>
        <w:spacing w:after="0" w:line="300" w:lineRule="atLeast"/>
        <w:rPr>
          <w:rFonts w:ascii="inherit" w:eastAsia="Times New Roman" w:hAnsi="inherit" w:cs="Times New Roman"/>
          <w:sz w:val="24"/>
          <w:szCs w:val="24"/>
        </w:rPr>
      </w:pPr>
      <w:r w:rsidRPr="005771B3">
        <w:rPr>
          <w:rFonts w:ascii="inherit" w:eastAsia="Times New Roman" w:hAnsi="inherit" w:cs="Times New Roman"/>
          <w:sz w:val="24"/>
          <w:szCs w:val="24"/>
        </w:rPr>
        <w:t xml:space="preserve">Jameson SS, James P, Howcroft DW, et al. Venous thromboembolic events are rare after shoulder surgery: analysis of a national database. J Shoulder Elbow Surg 2011;20(5):764-70 </w:t>
      </w:r>
      <w:hyperlink r:id="rId16" w:tgtFrame="_blank" w:history="1">
        <w:r w:rsidRPr="005771B3">
          <w:rPr>
            <w:rFonts w:ascii="inherit" w:eastAsia="Times New Roman" w:hAnsi="inherit" w:cs="Times New Roman"/>
            <w:color w:val="0000FF"/>
            <w:sz w:val="24"/>
            <w:szCs w:val="24"/>
            <w:u w:val="single"/>
            <w:bdr w:val="none" w:sz="0" w:space="0" w:color="auto" w:frame="1"/>
          </w:rPr>
          <w:t>http://www.ncbi.nlm.nih.gov/pubmed/21420324</w:t>
        </w:r>
      </w:hyperlink>
      <w:r w:rsidRPr="005771B3">
        <w:rPr>
          <w:rFonts w:ascii="inherit" w:eastAsia="Times New Roman" w:hAnsi="inherit" w:cs="Times New Roman"/>
          <w:sz w:val="24"/>
          <w:szCs w:val="24"/>
        </w:rPr>
        <w:t>.</w:t>
      </w:r>
    </w:p>
    <w:p w:rsidR="008732C1" w:rsidRPr="005771B3" w:rsidRDefault="008732C1" w:rsidP="008732C1">
      <w:pPr>
        <w:pStyle w:val="ListParagraph"/>
        <w:numPr>
          <w:ilvl w:val="0"/>
          <w:numId w:val="3"/>
        </w:numPr>
        <w:spacing w:after="0" w:line="300" w:lineRule="atLeast"/>
        <w:rPr>
          <w:rFonts w:ascii="inherit" w:eastAsia="Times New Roman" w:hAnsi="inherit" w:cs="Times New Roman"/>
          <w:sz w:val="24"/>
          <w:szCs w:val="24"/>
        </w:rPr>
      </w:pPr>
      <w:r w:rsidRPr="005771B3">
        <w:rPr>
          <w:rFonts w:ascii="inherit" w:eastAsia="Times New Roman" w:hAnsi="inherit" w:cs="Times New Roman"/>
          <w:sz w:val="24"/>
          <w:szCs w:val="24"/>
        </w:rPr>
        <w:t xml:space="preserve">Dattani R, Smith CD, Patel VR. The venous thromboembolic complications of shoulder and elbow surgery: a systematic review. Bone Joint J 2013;95-B(1):70-4 </w:t>
      </w:r>
      <w:hyperlink r:id="rId17" w:tgtFrame="_blank" w:history="1">
        <w:r w:rsidRPr="005771B3">
          <w:rPr>
            <w:rFonts w:ascii="inherit" w:eastAsia="Times New Roman" w:hAnsi="inherit" w:cs="Times New Roman"/>
            <w:color w:val="0000FF"/>
            <w:sz w:val="24"/>
            <w:szCs w:val="24"/>
            <w:u w:val="single"/>
            <w:bdr w:val="none" w:sz="0" w:space="0" w:color="auto" w:frame="1"/>
          </w:rPr>
          <w:t>http://www.ncbi.nlm.nih.gov/pubmed/23307676</w:t>
        </w:r>
      </w:hyperlink>
      <w:r w:rsidRPr="005771B3">
        <w:rPr>
          <w:rFonts w:ascii="inherit" w:eastAsia="Times New Roman" w:hAnsi="inherit" w:cs="Times New Roman"/>
          <w:sz w:val="24"/>
          <w:szCs w:val="24"/>
        </w:rPr>
        <w:t xml:space="preserve">. </w:t>
      </w:r>
    </w:p>
    <w:p w:rsidR="008732C1" w:rsidRPr="005771B3" w:rsidRDefault="008732C1" w:rsidP="008732C1">
      <w:pPr>
        <w:pStyle w:val="ListParagraph"/>
        <w:numPr>
          <w:ilvl w:val="0"/>
          <w:numId w:val="3"/>
        </w:numPr>
        <w:spacing w:after="0" w:line="300" w:lineRule="atLeast"/>
        <w:rPr>
          <w:rFonts w:ascii="inherit" w:eastAsia="Times New Roman" w:hAnsi="inherit" w:cs="Times New Roman"/>
          <w:sz w:val="24"/>
          <w:szCs w:val="24"/>
        </w:rPr>
      </w:pPr>
      <w:r w:rsidRPr="005771B3">
        <w:rPr>
          <w:rFonts w:ascii="inherit" w:eastAsia="Times New Roman" w:hAnsi="inherit" w:cs="Times New Roman"/>
          <w:sz w:val="24"/>
          <w:szCs w:val="24"/>
        </w:rPr>
        <w:t xml:space="preserve">Saleh HE, Pennings AL, ElMaraghy AW. Venous thromboembolism after shoulder arthroplasty: a systematic review. J Shoulder Elbow Surg 2013;22(10):1440-8 Navarro RA, Inacio MC, Burke MF, et al. Risk of </w:t>
      </w:r>
      <w:r w:rsidRPr="005771B3">
        <w:rPr>
          <w:rFonts w:ascii="inherit" w:eastAsia="Times New Roman" w:hAnsi="inherit" w:cs="Times New Roman"/>
          <w:sz w:val="24"/>
          <w:szCs w:val="24"/>
        </w:rPr>
        <w:lastRenderedPageBreak/>
        <w:t xml:space="preserve">thromboembolism in shoulder arthroplasty: effect of implant type and traumatic indication. Clin Orthop Relat Res 2013;471(5):1576-81 </w:t>
      </w:r>
      <w:hyperlink r:id="rId18" w:tgtFrame="_blank" w:history="1">
        <w:r w:rsidRPr="005771B3">
          <w:rPr>
            <w:rFonts w:ascii="inherit" w:eastAsia="Times New Roman" w:hAnsi="inherit" w:cs="Times New Roman"/>
            <w:color w:val="0000FF"/>
            <w:sz w:val="24"/>
            <w:szCs w:val="24"/>
            <w:u w:val="single"/>
            <w:bdr w:val="none" w:sz="0" w:space="0" w:color="auto" w:frame="1"/>
          </w:rPr>
          <w:t>http://www.ncbi.nlm.nih.gov/pubmed/23392993</w:t>
        </w:r>
      </w:hyperlink>
      <w:r w:rsidRPr="005771B3">
        <w:rPr>
          <w:rFonts w:ascii="inherit" w:eastAsia="Times New Roman" w:hAnsi="inherit" w:cs="Times New Roman"/>
          <w:sz w:val="24"/>
          <w:szCs w:val="24"/>
        </w:rPr>
        <w:t xml:space="preserve">. </w:t>
      </w:r>
    </w:p>
    <w:p w:rsidR="008732C1" w:rsidRDefault="008732C1" w:rsidP="008732C1">
      <w:pPr>
        <w:pStyle w:val="ListParagraph"/>
        <w:numPr>
          <w:ilvl w:val="0"/>
          <w:numId w:val="3"/>
        </w:numPr>
        <w:spacing w:after="0" w:line="300" w:lineRule="atLeast"/>
        <w:rPr>
          <w:rFonts w:ascii="inherit" w:eastAsia="Times New Roman" w:hAnsi="inherit" w:cs="Times New Roman"/>
          <w:sz w:val="24"/>
          <w:szCs w:val="24"/>
        </w:rPr>
      </w:pPr>
      <w:r w:rsidRPr="005771B3">
        <w:rPr>
          <w:rFonts w:ascii="inherit" w:eastAsia="Times New Roman" w:hAnsi="inherit" w:cs="Times New Roman"/>
          <w:sz w:val="24"/>
          <w:szCs w:val="24"/>
        </w:rPr>
        <w:t xml:space="preserve">Duncan SF, Sperling JW, Morrey BF. Prevalence of pulmonary embolism after total elbow arthroplasty. J Bone Joint Surg Am 2007;89(7):1452-3 </w:t>
      </w:r>
      <w:hyperlink r:id="rId19" w:tgtFrame="_blank" w:history="1">
        <w:r w:rsidRPr="005771B3">
          <w:rPr>
            <w:rFonts w:ascii="inherit" w:eastAsia="Times New Roman" w:hAnsi="inherit" w:cs="Times New Roman"/>
            <w:color w:val="0000FF"/>
            <w:sz w:val="24"/>
            <w:szCs w:val="24"/>
            <w:u w:val="single"/>
            <w:bdr w:val="none" w:sz="0" w:space="0" w:color="auto" w:frame="1"/>
          </w:rPr>
          <w:t>http://www.ncbi.nlm.nih.gov/pubmed/17606783</w:t>
        </w:r>
      </w:hyperlink>
      <w:r w:rsidRPr="005771B3">
        <w:rPr>
          <w:rFonts w:ascii="inherit" w:eastAsia="Times New Roman" w:hAnsi="inherit" w:cs="Times New Roman"/>
          <w:sz w:val="24"/>
          <w:szCs w:val="24"/>
        </w:rPr>
        <w:t xml:space="preserve">. </w:t>
      </w:r>
    </w:p>
    <w:p w:rsidR="008732C1" w:rsidRPr="00603262" w:rsidRDefault="008732C1" w:rsidP="008732C1">
      <w:pPr>
        <w:pStyle w:val="NormalWeb"/>
        <w:numPr>
          <w:ilvl w:val="0"/>
          <w:numId w:val="3"/>
        </w:numPr>
        <w:shd w:val="clear" w:color="auto" w:fill="FFFFFF"/>
        <w:spacing w:before="0" w:beforeAutospacing="0" w:after="0" w:afterAutospacing="0"/>
        <w:textAlignment w:val="baseline"/>
        <w:rPr>
          <w:rFonts w:ascii="inherit" w:hAnsi="inherit"/>
        </w:rPr>
      </w:pPr>
      <w:r w:rsidRPr="00603262">
        <w:rPr>
          <w:rFonts w:ascii="Helvetica" w:hAnsi="Helvetica"/>
          <w:spacing w:val="4"/>
          <w:sz w:val="23"/>
          <w:szCs w:val="23"/>
        </w:rPr>
        <w:t>Barbar, et al.</w:t>
      </w:r>
      <w:r w:rsidRPr="00603262">
        <w:rPr>
          <w:rFonts w:asciiTheme="minorHAnsi" w:hAnsiTheme="minorHAnsi"/>
          <w:spacing w:val="4"/>
          <w:sz w:val="23"/>
          <w:szCs w:val="23"/>
        </w:rPr>
        <w:t xml:space="preserve"> </w:t>
      </w:r>
      <w:hyperlink r:id="rId20" w:tgtFrame="_blank" w:history="1">
        <w:r w:rsidRPr="00603262">
          <w:rPr>
            <w:rStyle w:val="Hyperlink"/>
            <w:rFonts w:ascii="Helvetica" w:hAnsi="Helvetica"/>
            <w:spacing w:val="4"/>
            <w:sz w:val="23"/>
            <w:szCs w:val="23"/>
            <w:bdr w:val="none" w:sz="0" w:space="0" w:color="auto" w:frame="1"/>
          </w:rPr>
          <w:t>A risk assessment model for the identification of hospitalized medical patients at risk for venous thromboembolism: the Padua Prediction Score.</w:t>
        </w:r>
      </w:hyperlink>
      <w:r w:rsidRPr="00603262">
        <w:rPr>
          <w:rFonts w:asciiTheme="minorHAnsi" w:hAnsiTheme="minorHAnsi"/>
          <w:spacing w:val="4"/>
          <w:sz w:val="23"/>
          <w:szCs w:val="23"/>
        </w:rPr>
        <w:t xml:space="preserve"> </w:t>
      </w:r>
      <w:r w:rsidRPr="00603262">
        <w:rPr>
          <w:rFonts w:ascii="Helvetica" w:hAnsi="Helvetica"/>
          <w:spacing w:val="4"/>
          <w:sz w:val="23"/>
          <w:szCs w:val="23"/>
        </w:rPr>
        <w:t>Journal of Thrombosis and Haemostasis: JTH 2010, 8 (11): 2450-7</w:t>
      </w:r>
      <w:r w:rsidRPr="00603262">
        <w:rPr>
          <w:rFonts w:asciiTheme="minorHAnsi" w:hAnsiTheme="minorHAnsi"/>
          <w:spacing w:val="4"/>
          <w:sz w:val="23"/>
          <w:szCs w:val="23"/>
        </w:rPr>
        <w:t xml:space="preserve"> </w:t>
      </w:r>
    </w:p>
    <w:p w:rsidR="00901AD2" w:rsidRDefault="00901AD2" w:rsidP="00276280">
      <w:pPr>
        <w:spacing w:after="0" w:line="240" w:lineRule="auto"/>
        <w:ind w:firstLine="720"/>
        <w:rPr>
          <w:rFonts w:ascii="Times New Roman" w:hAnsi="Times New Roman" w:cs="Times New Roman"/>
          <w:sz w:val="24"/>
          <w:lang w:val="bg-BG"/>
        </w:rPr>
      </w:pPr>
    </w:p>
    <w:p w:rsidR="00C83605" w:rsidRDefault="00C83605" w:rsidP="00276280">
      <w:pPr>
        <w:spacing w:after="0" w:line="240" w:lineRule="auto"/>
        <w:rPr>
          <w:rFonts w:ascii="Times New Roman" w:hAnsi="Times New Roman" w:cs="Times New Roman"/>
          <w:sz w:val="24"/>
          <w:lang w:val="bg-BG"/>
        </w:rPr>
      </w:pPr>
    </w:p>
    <w:p w:rsidR="00C83605" w:rsidRDefault="00C83605" w:rsidP="00276280">
      <w:pPr>
        <w:spacing w:after="0" w:line="240" w:lineRule="auto"/>
        <w:rPr>
          <w:rFonts w:ascii="Times New Roman" w:hAnsi="Times New Roman" w:cs="Times New Roman"/>
          <w:sz w:val="24"/>
          <w:lang w:val="bg-BG"/>
        </w:rPr>
      </w:pPr>
    </w:p>
    <w:p w:rsidR="005771B3" w:rsidRPr="005771B3" w:rsidRDefault="005771B3" w:rsidP="00276280">
      <w:pPr>
        <w:pStyle w:val="ListParagraph"/>
        <w:spacing w:after="0" w:line="300" w:lineRule="atLeast"/>
        <w:ind w:left="0"/>
        <w:rPr>
          <w:rFonts w:ascii="inherit" w:eastAsia="Times New Roman" w:hAnsi="inherit" w:cs="Times New Roman"/>
          <w:sz w:val="24"/>
          <w:szCs w:val="24"/>
        </w:rPr>
      </w:pPr>
    </w:p>
    <w:p w:rsidR="00C83605" w:rsidRDefault="00C83605" w:rsidP="00276280">
      <w:pPr>
        <w:spacing w:after="0" w:line="240" w:lineRule="auto"/>
        <w:rPr>
          <w:rFonts w:ascii="Times New Roman" w:hAnsi="Times New Roman" w:cs="Times New Roman"/>
          <w:sz w:val="24"/>
          <w:lang w:val="bg-BG"/>
        </w:rPr>
      </w:pPr>
    </w:p>
    <w:sectPr w:rsidR="00C83605" w:rsidSect="00D46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40E9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579"/>
    <w:multiLevelType w:val="hybridMultilevel"/>
    <w:tmpl w:val="1012FD1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2C733C"/>
    <w:multiLevelType w:val="multilevel"/>
    <w:tmpl w:val="0DB2E45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811474"/>
    <w:multiLevelType w:val="hybridMultilevel"/>
    <w:tmpl w:val="C2FCD2BE"/>
    <w:lvl w:ilvl="0" w:tplc="427C0A12">
      <w:start w:val="1"/>
      <w:numFmt w:val="bullet"/>
      <w:lvlText w:val="-"/>
      <w:lvlJc w:val="left"/>
      <w:pPr>
        <w:ind w:left="1800" w:hanging="360"/>
      </w:pPr>
      <w:rPr>
        <w:rFonts w:ascii="Calibri" w:eastAsiaTheme="minorHAnsi" w:hAnsi="Calibri" w:cs="Calibr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0E3A01A8"/>
    <w:multiLevelType w:val="hybridMultilevel"/>
    <w:tmpl w:val="30CEC4EA"/>
    <w:lvl w:ilvl="0" w:tplc="A18E4C86">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0EC715CE"/>
    <w:multiLevelType w:val="hybridMultilevel"/>
    <w:tmpl w:val="35EAB782"/>
    <w:lvl w:ilvl="0" w:tplc="C14C338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149000EB"/>
    <w:multiLevelType w:val="multilevel"/>
    <w:tmpl w:val="E2A674F8"/>
    <w:lvl w:ilvl="0">
      <w:start w:val="4"/>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8A225C"/>
    <w:multiLevelType w:val="hybridMultilevel"/>
    <w:tmpl w:val="486A79E0"/>
    <w:lvl w:ilvl="0" w:tplc="4872B5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F0961ED"/>
    <w:multiLevelType w:val="hybridMultilevel"/>
    <w:tmpl w:val="20E4569C"/>
    <w:lvl w:ilvl="0" w:tplc="4B9E41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273C5535"/>
    <w:multiLevelType w:val="multilevel"/>
    <w:tmpl w:val="D89A2780"/>
    <w:lvl w:ilvl="0">
      <w:start w:val="1"/>
      <w:numFmt w:val="decimal"/>
      <w:lvlText w:val="%1."/>
      <w:lvlJc w:val="left"/>
      <w:pPr>
        <w:ind w:left="108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7435FA6"/>
    <w:multiLevelType w:val="multilevel"/>
    <w:tmpl w:val="41EAFC86"/>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693309"/>
    <w:multiLevelType w:val="hybridMultilevel"/>
    <w:tmpl w:val="59E2C274"/>
    <w:lvl w:ilvl="0" w:tplc="4872B5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395149"/>
    <w:multiLevelType w:val="hybridMultilevel"/>
    <w:tmpl w:val="DF90359E"/>
    <w:lvl w:ilvl="0" w:tplc="397C9D2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3A3071F0"/>
    <w:multiLevelType w:val="hybridMultilevel"/>
    <w:tmpl w:val="B4FCC8EE"/>
    <w:lvl w:ilvl="0" w:tplc="4872B5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AD95B9D"/>
    <w:multiLevelType w:val="multilevel"/>
    <w:tmpl w:val="C1461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E2120D"/>
    <w:multiLevelType w:val="hybridMultilevel"/>
    <w:tmpl w:val="67F6B2B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BDB589B"/>
    <w:multiLevelType w:val="hybridMultilevel"/>
    <w:tmpl w:val="D744EFEA"/>
    <w:lvl w:ilvl="0" w:tplc="1B56FC46">
      <w:start w:val="1"/>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CE4166E"/>
    <w:multiLevelType w:val="hybridMultilevel"/>
    <w:tmpl w:val="DF90359E"/>
    <w:lvl w:ilvl="0" w:tplc="397C9D2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4EEE352D"/>
    <w:multiLevelType w:val="multilevel"/>
    <w:tmpl w:val="65F602FE"/>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4EFA01F6"/>
    <w:multiLevelType w:val="multilevel"/>
    <w:tmpl w:val="C456A51E"/>
    <w:lvl w:ilvl="0">
      <w:start w:val="1"/>
      <w:numFmt w:val="decimal"/>
      <w:lvlText w:val="%1."/>
      <w:lvlJc w:val="left"/>
      <w:pPr>
        <w:ind w:left="720" w:hanging="360"/>
      </w:pPr>
      <w:rPr>
        <w:rFonts w:hint="default"/>
      </w:rPr>
    </w:lvl>
    <w:lvl w:ilvl="1">
      <w:start w:val="1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846447E"/>
    <w:multiLevelType w:val="multilevel"/>
    <w:tmpl w:val="B4EE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72E43"/>
    <w:multiLevelType w:val="hybridMultilevel"/>
    <w:tmpl w:val="B4FCC8EE"/>
    <w:lvl w:ilvl="0" w:tplc="4872B5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14B4E94"/>
    <w:multiLevelType w:val="hybridMultilevel"/>
    <w:tmpl w:val="AE7A2288"/>
    <w:lvl w:ilvl="0" w:tplc="615A1980">
      <w:start w:val="4"/>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64A85684"/>
    <w:multiLevelType w:val="multilevel"/>
    <w:tmpl w:val="BE3C7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D048F7"/>
    <w:multiLevelType w:val="multilevel"/>
    <w:tmpl w:val="FEFC9ED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00E1EF4"/>
    <w:multiLevelType w:val="hybridMultilevel"/>
    <w:tmpl w:val="3A44B51E"/>
    <w:lvl w:ilvl="0" w:tplc="4872B57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724F0D15"/>
    <w:multiLevelType w:val="multilevel"/>
    <w:tmpl w:val="EFA8A4DA"/>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1E60C5"/>
    <w:multiLevelType w:val="hybridMultilevel"/>
    <w:tmpl w:val="CC069AF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862B25"/>
    <w:multiLevelType w:val="hybridMultilevel"/>
    <w:tmpl w:val="654CA386"/>
    <w:lvl w:ilvl="0" w:tplc="9D763B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27"/>
  </w:num>
  <w:num w:numId="3">
    <w:abstractNumId w:val="28"/>
  </w:num>
  <w:num w:numId="4">
    <w:abstractNumId w:val="14"/>
  </w:num>
  <w:num w:numId="5">
    <w:abstractNumId w:val="3"/>
  </w:num>
  <w:num w:numId="6">
    <w:abstractNumId w:val="16"/>
  </w:num>
  <w:num w:numId="7">
    <w:abstractNumId w:val="13"/>
  </w:num>
  <w:num w:numId="8">
    <w:abstractNumId w:val="0"/>
  </w:num>
  <w:num w:numId="9">
    <w:abstractNumId w:val="26"/>
  </w:num>
  <w:num w:numId="10">
    <w:abstractNumId w:val="21"/>
  </w:num>
  <w:num w:numId="11">
    <w:abstractNumId w:val="9"/>
  </w:num>
  <w:num w:numId="12">
    <w:abstractNumId w:val="24"/>
  </w:num>
  <w:num w:numId="13">
    <w:abstractNumId w:val="11"/>
  </w:num>
  <w:num w:numId="14">
    <w:abstractNumId w:val="7"/>
  </w:num>
  <w:num w:numId="15">
    <w:abstractNumId w:val="18"/>
  </w:num>
  <w:num w:numId="16">
    <w:abstractNumId w:val="5"/>
  </w:num>
  <w:num w:numId="17">
    <w:abstractNumId w:val="1"/>
  </w:num>
  <w:num w:numId="18">
    <w:abstractNumId w:val="19"/>
  </w:num>
  <w:num w:numId="19">
    <w:abstractNumId w:val="4"/>
  </w:num>
  <w:num w:numId="20">
    <w:abstractNumId w:val="17"/>
  </w:num>
  <w:num w:numId="21">
    <w:abstractNumId w:val="25"/>
  </w:num>
  <w:num w:numId="22">
    <w:abstractNumId w:val="12"/>
  </w:num>
  <w:num w:numId="23">
    <w:abstractNumId w:val="20"/>
  </w:num>
  <w:num w:numId="24">
    <w:abstractNumId w:val="22"/>
  </w:num>
  <w:num w:numId="25">
    <w:abstractNumId w:val="10"/>
  </w:num>
  <w:num w:numId="26">
    <w:abstractNumId w:val="8"/>
  </w:num>
  <w:num w:numId="27">
    <w:abstractNumId w:val="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compatSetting w:name="compatibilityMode" w:uri="http://schemas.microsoft.com/office/word" w:val="12"/>
  </w:compat>
  <w:rsids>
    <w:rsidRoot w:val="002E1932"/>
    <w:rsid w:val="00001DE1"/>
    <w:rsid w:val="0002069F"/>
    <w:rsid w:val="00026873"/>
    <w:rsid w:val="00057616"/>
    <w:rsid w:val="000800DB"/>
    <w:rsid w:val="0008213F"/>
    <w:rsid w:val="00083221"/>
    <w:rsid w:val="00097F1C"/>
    <w:rsid w:val="000A3916"/>
    <w:rsid w:val="000B0581"/>
    <w:rsid w:val="000F539A"/>
    <w:rsid w:val="000F5426"/>
    <w:rsid w:val="00100F4A"/>
    <w:rsid w:val="0011347D"/>
    <w:rsid w:val="001330C9"/>
    <w:rsid w:val="00137020"/>
    <w:rsid w:val="00157884"/>
    <w:rsid w:val="0016137F"/>
    <w:rsid w:val="001857DC"/>
    <w:rsid w:val="00217854"/>
    <w:rsid w:val="002221C2"/>
    <w:rsid w:val="00246A48"/>
    <w:rsid w:val="00263AD9"/>
    <w:rsid w:val="00270BDA"/>
    <w:rsid w:val="00276280"/>
    <w:rsid w:val="002862D6"/>
    <w:rsid w:val="00293EC6"/>
    <w:rsid w:val="002A0E36"/>
    <w:rsid w:val="002B39EE"/>
    <w:rsid w:val="002C0126"/>
    <w:rsid w:val="002D57E0"/>
    <w:rsid w:val="002D699C"/>
    <w:rsid w:val="002D72C4"/>
    <w:rsid w:val="002E1932"/>
    <w:rsid w:val="00326B96"/>
    <w:rsid w:val="00347B0E"/>
    <w:rsid w:val="00350C12"/>
    <w:rsid w:val="00365502"/>
    <w:rsid w:val="00370F66"/>
    <w:rsid w:val="0037171D"/>
    <w:rsid w:val="003758B6"/>
    <w:rsid w:val="003819D8"/>
    <w:rsid w:val="003A39F6"/>
    <w:rsid w:val="003B3361"/>
    <w:rsid w:val="003B7C9C"/>
    <w:rsid w:val="003E3623"/>
    <w:rsid w:val="003E55FD"/>
    <w:rsid w:val="003F73E4"/>
    <w:rsid w:val="003F7BFE"/>
    <w:rsid w:val="004008DE"/>
    <w:rsid w:val="00400D9D"/>
    <w:rsid w:val="004255C2"/>
    <w:rsid w:val="00443613"/>
    <w:rsid w:val="0045012C"/>
    <w:rsid w:val="004608DA"/>
    <w:rsid w:val="00464BB3"/>
    <w:rsid w:val="00482F6E"/>
    <w:rsid w:val="00492399"/>
    <w:rsid w:val="004B472F"/>
    <w:rsid w:val="004B5C47"/>
    <w:rsid w:val="004C3FC6"/>
    <w:rsid w:val="004C6F40"/>
    <w:rsid w:val="004D2651"/>
    <w:rsid w:val="004E72F1"/>
    <w:rsid w:val="0050328A"/>
    <w:rsid w:val="00504309"/>
    <w:rsid w:val="005166D3"/>
    <w:rsid w:val="00535380"/>
    <w:rsid w:val="00535526"/>
    <w:rsid w:val="00553DBA"/>
    <w:rsid w:val="00564BBD"/>
    <w:rsid w:val="00565DDA"/>
    <w:rsid w:val="00565FB8"/>
    <w:rsid w:val="005771B3"/>
    <w:rsid w:val="00592385"/>
    <w:rsid w:val="005A00B7"/>
    <w:rsid w:val="005C27D4"/>
    <w:rsid w:val="005D687E"/>
    <w:rsid w:val="005E3599"/>
    <w:rsid w:val="005E7FF1"/>
    <w:rsid w:val="005F10B6"/>
    <w:rsid w:val="005F7956"/>
    <w:rsid w:val="00603262"/>
    <w:rsid w:val="00603AAB"/>
    <w:rsid w:val="00611F46"/>
    <w:rsid w:val="006136C1"/>
    <w:rsid w:val="00623F50"/>
    <w:rsid w:val="006253ED"/>
    <w:rsid w:val="0064027B"/>
    <w:rsid w:val="006519A1"/>
    <w:rsid w:val="006575A9"/>
    <w:rsid w:val="006772CF"/>
    <w:rsid w:val="006C2776"/>
    <w:rsid w:val="006C2918"/>
    <w:rsid w:val="006C446C"/>
    <w:rsid w:val="006D036D"/>
    <w:rsid w:val="006D140B"/>
    <w:rsid w:val="006D79A5"/>
    <w:rsid w:val="006E2180"/>
    <w:rsid w:val="00725315"/>
    <w:rsid w:val="00727CBA"/>
    <w:rsid w:val="00761CCC"/>
    <w:rsid w:val="0078195D"/>
    <w:rsid w:val="00781C61"/>
    <w:rsid w:val="007A502D"/>
    <w:rsid w:val="007C08A0"/>
    <w:rsid w:val="007C46CD"/>
    <w:rsid w:val="007C4880"/>
    <w:rsid w:val="007D1233"/>
    <w:rsid w:val="008034DE"/>
    <w:rsid w:val="0082106B"/>
    <w:rsid w:val="0082414C"/>
    <w:rsid w:val="00830992"/>
    <w:rsid w:val="00831DF4"/>
    <w:rsid w:val="00862AC3"/>
    <w:rsid w:val="00871E2F"/>
    <w:rsid w:val="008732C1"/>
    <w:rsid w:val="0089211F"/>
    <w:rsid w:val="008A665D"/>
    <w:rsid w:val="008A7519"/>
    <w:rsid w:val="008B1E9D"/>
    <w:rsid w:val="008C5367"/>
    <w:rsid w:val="00901AD2"/>
    <w:rsid w:val="00916066"/>
    <w:rsid w:val="00920A0F"/>
    <w:rsid w:val="00922BFB"/>
    <w:rsid w:val="00940B0E"/>
    <w:rsid w:val="00943007"/>
    <w:rsid w:val="00965505"/>
    <w:rsid w:val="00982DC8"/>
    <w:rsid w:val="009A52C4"/>
    <w:rsid w:val="009B5006"/>
    <w:rsid w:val="009C28D6"/>
    <w:rsid w:val="009E750D"/>
    <w:rsid w:val="009F6263"/>
    <w:rsid w:val="00A006BB"/>
    <w:rsid w:val="00A06930"/>
    <w:rsid w:val="00A702CD"/>
    <w:rsid w:val="00A719D3"/>
    <w:rsid w:val="00A83F95"/>
    <w:rsid w:val="00AA0027"/>
    <w:rsid w:val="00AA18E9"/>
    <w:rsid w:val="00AB5C4D"/>
    <w:rsid w:val="00AC165C"/>
    <w:rsid w:val="00AD53F2"/>
    <w:rsid w:val="00B0724A"/>
    <w:rsid w:val="00B106C6"/>
    <w:rsid w:val="00B27D12"/>
    <w:rsid w:val="00B4118F"/>
    <w:rsid w:val="00B4309E"/>
    <w:rsid w:val="00B53C63"/>
    <w:rsid w:val="00B63880"/>
    <w:rsid w:val="00B76D2A"/>
    <w:rsid w:val="00B83CCD"/>
    <w:rsid w:val="00B91588"/>
    <w:rsid w:val="00BB15C3"/>
    <w:rsid w:val="00BD0089"/>
    <w:rsid w:val="00BD7956"/>
    <w:rsid w:val="00BD7B1B"/>
    <w:rsid w:val="00C001A4"/>
    <w:rsid w:val="00C12632"/>
    <w:rsid w:val="00C351A5"/>
    <w:rsid w:val="00C36D45"/>
    <w:rsid w:val="00C4192E"/>
    <w:rsid w:val="00C515A8"/>
    <w:rsid w:val="00C83605"/>
    <w:rsid w:val="00C84554"/>
    <w:rsid w:val="00CA6CC4"/>
    <w:rsid w:val="00CA71E2"/>
    <w:rsid w:val="00CB4DD7"/>
    <w:rsid w:val="00CC4ADA"/>
    <w:rsid w:val="00CD130B"/>
    <w:rsid w:val="00D07689"/>
    <w:rsid w:val="00D20E17"/>
    <w:rsid w:val="00D32AB1"/>
    <w:rsid w:val="00D3567B"/>
    <w:rsid w:val="00D36D94"/>
    <w:rsid w:val="00D41831"/>
    <w:rsid w:val="00D46689"/>
    <w:rsid w:val="00D5357F"/>
    <w:rsid w:val="00D87D29"/>
    <w:rsid w:val="00D955E8"/>
    <w:rsid w:val="00DA0BF0"/>
    <w:rsid w:val="00DA0E49"/>
    <w:rsid w:val="00DA4B6B"/>
    <w:rsid w:val="00DA75C1"/>
    <w:rsid w:val="00E0113D"/>
    <w:rsid w:val="00E12254"/>
    <w:rsid w:val="00E160C6"/>
    <w:rsid w:val="00E419C5"/>
    <w:rsid w:val="00E70376"/>
    <w:rsid w:val="00E81331"/>
    <w:rsid w:val="00E85F6A"/>
    <w:rsid w:val="00E924B6"/>
    <w:rsid w:val="00EB30F0"/>
    <w:rsid w:val="00EB6E50"/>
    <w:rsid w:val="00EB7D51"/>
    <w:rsid w:val="00EC6B9E"/>
    <w:rsid w:val="00ED3845"/>
    <w:rsid w:val="00EF2448"/>
    <w:rsid w:val="00EF3D82"/>
    <w:rsid w:val="00F07E4A"/>
    <w:rsid w:val="00F14951"/>
    <w:rsid w:val="00F2405C"/>
    <w:rsid w:val="00F36432"/>
    <w:rsid w:val="00F44929"/>
    <w:rsid w:val="00F44C47"/>
    <w:rsid w:val="00F80F6F"/>
    <w:rsid w:val="00F863E5"/>
    <w:rsid w:val="00F86ABA"/>
    <w:rsid w:val="00FB6063"/>
    <w:rsid w:val="00FC4A48"/>
    <w:rsid w:val="00FD4D34"/>
    <w:rsid w:val="00FF2CEA"/>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83A"/>
  <w15:docId w15:val="{860D0FBA-4062-47EB-9314-8E37EF69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DC"/>
    <w:pPr>
      <w:ind w:left="720"/>
      <w:contextualSpacing/>
    </w:pPr>
  </w:style>
  <w:style w:type="table" w:styleId="TableGrid">
    <w:name w:val="Table Grid"/>
    <w:basedOn w:val="TableNormal"/>
    <w:uiPriority w:val="39"/>
    <w:rsid w:val="00CD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85F6A"/>
    <w:rPr>
      <w:i/>
      <w:iCs/>
    </w:rPr>
  </w:style>
  <w:style w:type="paragraph" w:styleId="ListBullet">
    <w:name w:val="List Bullet"/>
    <w:basedOn w:val="Normal"/>
    <w:uiPriority w:val="99"/>
    <w:unhideWhenUsed/>
    <w:rsid w:val="00920A0F"/>
    <w:pPr>
      <w:numPr>
        <w:numId w:val="8"/>
      </w:numPr>
      <w:contextualSpacing/>
    </w:pPr>
  </w:style>
  <w:style w:type="character" w:styleId="Hyperlink">
    <w:name w:val="Hyperlink"/>
    <w:basedOn w:val="DefaultParagraphFont"/>
    <w:uiPriority w:val="99"/>
    <w:unhideWhenUsed/>
    <w:rsid w:val="00C4192E"/>
    <w:rPr>
      <w:color w:val="0563C1" w:themeColor="hyperlink"/>
      <w:u w:val="single"/>
    </w:rPr>
  </w:style>
  <w:style w:type="character" w:styleId="FollowedHyperlink">
    <w:name w:val="FollowedHyperlink"/>
    <w:basedOn w:val="DefaultParagraphFont"/>
    <w:uiPriority w:val="99"/>
    <w:semiHidden/>
    <w:unhideWhenUsed/>
    <w:rsid w:val="00871E2F"/>
    <w:rPr>
      <w:color w:val="954F72" w:themeColor="followedHyperlink"/>
      <w:u w:val="single"/>
    </w:rPr>
  </w:style>
  <w:style w:type="character" w:customStyle="1" w:styleId="ref-journal">
    <w:name w:val="ref-journal"/>
    <w:basedOn w:val="DefaultParagraphFont"/>
    <w:rsid w:val="004255C2"/>
  </w:style>
  <w:style w:type="character" w:customStyle="1" w:styleId="ref-vol">
    <w:name w:val="ref-vol"/>
    <w:basedOn w:val="DefaultParagraphFont"/>
    <w:rsid w:val="004255C2"/>
  </w:style>
  <w:style w:type="paragraph" w:customStyle="1" w:styleId="paragraph">
    <w:name w:val="paragraph"/>
    <w:basedOn w:val="Normal"/>
    <w:rsid w:val="000F54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F5426"/>
  </w:style>
  <w:style w:type="character" w:customStyle="1" w:styleId="eop">
    <w:name w:val="eop"/>
    <w:basedOn w:val="DefaultParagraphFont"/>
    <w:rsid w:val="000F5426"/>
  </w:style>
  <w:style w:type="paragraph" w:styleId="NormalWeb">
    <w:name w:val="Normal (Web)"/>
    <w:basedOn w:val="Normal"/>
    <w:uiPriority w:val="99"/>
    <w:unhideWhenUsed/>
    <w:rsid w:val="00603262"/>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775">
      <w:bodyDiv w:val="1"/>
      <w:marLeft w:val="0"/>
      <w:marRight w:val="0"/>
      <w:marTop w:val="0"/>
      <w:marBottom w:val="0"/>
      <w:divBdr>
        <w:top w:val="none" w:sz="0" w:space="0" w:color="auto"/>
        <w:left w:val="none" w:sz="0" w:space="0" w:color="auto"/>
        <w:bottom w:val="none" w:sz="0" w:space="0" w:color="auto"/>
        <w:right w:val="none" w:sz="0" w:space="0" w:color="auto"/>
      </w:divBdr>
    </w:div>
    <w:div w:id="566889624">
      <w:bodyDiv w:val="1"/>
      <w:marLeft w:val="0"/>
      <w:marRight w:val="0"/>
      <w:marTop w:val="0"/>
      <w:marBottom w:val="0"/>
      <w:divBdr>
        <w:top w:val="none" w:sz="0" w:space="0" w:color="auto"/>
        <w:left w:val="none" w:sz="0" w:space="0" w:color="auto"/>
        <w:bottom w:val="none" w:sz="0" w:space="0" w:color="auto"/>
        <w:right w:val="none" w:sz="0" w:space="0" w:color="auto"/>
      </w:divBdr>
      <w:divsChild>
        <w:div w:id="1219197367">
          <w:marLeft w:val="0"/>
          <w:marRight w:val="0"/>
          <w:marTop w:val="0"/>
          <w:marBottom w:val="0"/>
          <w:divBdr>
            <w:top w:val="none" w:sz="0" w:space="0" w:color="auto"/>
            <w:left w:val="none" w:sz="0" w:space="0" w:color="auto"/>
            <w:bottom w:val="none" w:sz="0" w:space="0" w:color="auto"/>
            <w:right w:val="none" w:sz="0" w:space="0" w:color="auto"/>
          </w:divBdr>
        </w:div>
        <w:div w:id="211559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bg/public/listovka/34401d.pdf" TargetMode="External"/><Relationship Id="rId13" Type="http://schemas.openxmlformats.org/officeDocument/2006/relationships/hyperlink" Target="http://www.sign.ac.uk/pdf/sign111.pdf" TargetMode="External"/><Relationship Id="rId18" Type="http://schemas.openxmlformats.org/officeDocument/2006/relationships/hyperlink" Target="https://l.facebook.com/l.php?u=http%3A%2F%2Fwww.ncbi.nlm.nih.gov%2Fpubmed%2F23392993%3Ffbclid%3DIwAR24cQqBgojU_3EgE52tBQBAW8Lf5BxiSVvGw7AJk5WXFB2BJkdH5KleYow&amp;h=AT2c9KBNlM2J0ibgnT4_0L9G_mosHzdO7mE-fmjnsezmDFDZTeZ7CdT4C0yhPcSF9XBWNmKXkIsiUrHxbFuqWAuKV4LKOascch5K2ZwezPvewF6coiC3G40LyS9WGqtRIuLb9zn626Ys-6EAkyPPR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c.europa.eu/health/documents/community-register/2016/20160915135796/anx_135796_bg.pdf" TargetMode="External"/><Relationship Id="rId12" Type="http://schemas.openxmlformats.org/officeDocument/2006/relationships/hyperlink" Target="https://www.nice.org.uk/guidance/ng89" TargetMode="External"/><Relationship Id="rId17" Type="http://schemas.openxmlformats.org/officeDocument/2006/relationships/hyperlink" Target="https://l.facebook.com/l.php?u=http%3A%2F%2Fwww.ncbi.nlm.nih.gov%2Fpubmed%2F23307676%3Ffbclid%3DIwAR0r5KmCuKCwdJwGEVElADvErPOsiXNG10Nl6ytSUhsKRLM2N_2CynQv7qk&amp;h=AT2c9KBNlM2J0ibgnT4_0L9G_mosHzdO7mE-fmjnsezmDFDZTeZ7CdT4C0yhPcSF9XBWNmKXkIsiUrHxbFuqWAuKV4LKOascch5K2ZwezPvewF6coiC3G40LyS9WGqtRIuLb9zn626Ys-6EAkyPPRA" TargetMode="External"/><Relationship Id="rId2" Type="http://schemas.openxmlformats.org/officeDocument/2006/relationships/numbering" Target="numbering.xml"/><Relationship Id="rId16" Type="http://schemas.openxmlformats.org/officeDocument/2006/relationships/hyperlink" Target="https://l.facebook.com/l.php?u=http%3A%2F%2Fwww.ncbi.nlm.nih.gov%2Fpubmed%2F21420324%3Ffbclid%3DIwAR3lDC_-AK8GFxD2p8wEgwXj3wJtbRVQglum-_0vHhk7fP-14m6uf_1-j2w&amp;h=AT2c9KBNlM2J0ibgnT4_0L9G_mosHzdO7mE-fmjnsezmDFDZTeZ7CdT4C0yhPcSF9XBWNmKXkIsiUrHxbFuqWAuKV4LKOascch5K2ZwezPvewF6coiC3G40LyS9WGqtRIuLb9zn626Ys-6EAkyPPRA" TargetMode="External"/><Relationship Id="rId20" Type="http://schemas.openxmlformats.org/officeDocument/2006/relationships/hyperlink" Target="http://www.qxmd.com/pubmed/20738765" TargetMode="External"/><Relationship Id="rId1" Type="http://schemas.openxmlformats.org/officeDocument/2006/relationships/customXml" Target="../customXml/item1.xml"/><Relationship Id="rId6" Type="http://schemas.openxmlformats.org/officeDocument/2006/relationships/hyperlink" Target="http://www.medicine.bg/public/listovka/27341d.pdf" TargetMode="External"/><Relationship Id="rId11" Type="http://schemas.openxmlformats.org/officeDocument/2006/relationships/hyperlink" Target="https://ec.europa.eu/health/documents/community-register/2018/20180108139551/anx_139551_bg.pdf" TargetMode="External"/><Relationship Id="rId5" Type="http://schemas.openxmlformats.org/officeDocument/2006/relationships/webSettings" Target="webSettings.xml"/><Relationship Id="rId15" Type="http://schemas.openxmlformats.org/officeDocument/2006/relationships/hyperlink" Target="https://l.facebook.com/l.php?u=http%3A%2F%2Fwww.ncbi.nlm.nih.gov%2Fpubmed%2F16826110%3Ffbclid%3DIwAR2qtyZKLkNUpraXStk3E7gfa2_w9i9aKBh_DoK9onb87T6_QnkaT__Sk4s&amp;h=AT2c9KBNlM2J0ibgnT4_0L9G_mosHzdO7mE-fmjnsezmDFDZTeZ7CdT4C0yhPcSF9XBWNmKXkIsiUrHxbFuqWAuKV4LKOascch5K2ZwezPvewF6coiC3G40LyS9WGqtRIuLb9zn626Ys-6EAkyPPRA" TargetMode="External"/><Relationship Id="rId10" Type="http://schemas.openxmlformats.org/officeDocument/2006/relationships/hyperlink" Target="https://ec.europa.eu/health/documents/community-register/2008/2008093049239/anx_49239_bg.pdf" TargetMode="External"/><Relationship Id="rId19" Type="http://schemas.openxmlformats.org/officeDocument/2006/relationships/hyperlink" Target="https://l.facebook.com/l.php?u=http%3A%2F%2Fwww.ncbi.nlm.nih.gov%2Fpubmed%2F17606783%3Ffbclid%3DIwAR1RV18pqnj06RIwy_HB2t2HJMAlP3glvd3qu4L7WTMUo8SYQjrc1A0TTdE&amp;h=AT2c9KBNlM2J0ibgnT4_0L9G_mosHzdO7mE-fmjnsezmDFDZTeZ7CdT4C0yhPcSF9XBWNmKXkIsiUrHxbFuqWAuKV4LKOascch5K2ZwezPvewF6coiC3G40LyS9WGqtRIuLb9zn626Ys-6EAkyPPRA" TargetMode="External"/><Relationship Id="rId4" Type="http://schemas.openxmlformats.org/officeDocument/2006/relationships/settings" Target="settings.xml"/><Relationship Id="rId9" Type="http://schemas.openxmlformats.org/officeDocument/2006/relationships/hyperlink" Target="https://www.ema.europa.eu/en/documents/product-information/eliquis-epar-product-information_bg.pdf" TargetMode="External"/><Relationship Id="rId14" Type="http://schemas.openxmlformats.org/officeDocument/2006/relationships/hyperlink" Target="https://www.nice.org.uk/guidance/cg124/chap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C94A-BFBA-49B5-B876-3BF5786D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14406</TotalTime>
  <Pages>31</Pages>
  <Words>12396</Words>
  <Characters>70658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Tasev</dc:creator>
  <cp:keywords/>
  <dc:description/>
  <cp:lastModifiedBy>Borislav Tasev</cp:lastModifiedBy>
  <cp:revision>141</cp:revision>
  <cp:lastPrinted>2023-08-24T03:50:00Z</cp:lastPrinted>
  <dcterms:created xsi:type="dcterms:W3CDTF">2023-07-12T15:41:00Z</dcterms:created>
  <dcterms:modified xsi:type="dcterms:W3CDTF">2023-08-24T19:34:00Z</dcterms:modified>
</cp:coreProperties>
</file>